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Schedule A — Parties</w:t>
      </w:r>
    </w:p>
    <w:p>
      <w:r>
        <w:t>The following parties are bound by this agreement: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IBAN</w:t>
            </w:r>
          </w:p>
        </w:tc>
      </w:tr>
      <w:tr>
        <w:tc>
          <w:tcPr>
            <w:tcW w:type="dxa" w:w="2880"/>
          </w:tcPr>
          <w:p>
            <w:r>
              <w:t>Giulia Rossi</w:t>
            </w:r>
          </w:p>
        </w:tc>
        <w:tc>
          <w:tcPr>
            <w:tcW w:type="dxa" w:w="2880"/>
          </w:tcPr>
          <w:p>
            <w:r>
              <w:t>giulia.rossi@example.com</w:t>
            </w:r>
          </w:p>
        </w:tc>
        <w:tc>
          <w:tcPr>
            <w:tcW w:type="dxa" w:w="2880"/>
          </w:tcPr>
          <w:p>
            <w:r>
              <w:t>IT60X0542811101000000123456</w:t>
            </w:r>
          </w:p>
        </w:tc>
      </w:tr>
      <w:tr>
        <w:tc>
          <w:tcPr>
            <w:tcW w:type="dxa" w:w="2880"/>
          </w:tcPr>
          <w:p>
            <w:r>
              <w:t>Mario Bianchi</w:t>
            </w:r>
          </w:p>
        </w:tc>
        <w:tc>
          <w:tcPr>
            <w:tcW w:type="dxa" w:w="2880"/>
          </w:tcPr>
          <w:p>
            <w:r>
              <w:t>mario@bianchi.it</w:t>
            </w:r>
          </w:p>
        </w:tc>
        <w:tc>
          <w:tcPr>
            <w:tcW w:type="dxa" w:w="2880"/>
          </w:tcPr>
          <w:p>
            <w:r>
              <w:t>IT28W0800000000000000000001</w:t>
            </w:r>
          </w:p>
        </w:tc>
      </w:tr>
      <w:tr>
        <w:tc>
          <w:tcPr>
            <w:tcW w:type="dxa" w:w="2880"/>
          </w:tcPr>
          <w:p>
            <w:r>
              <w:t>John Carter</w:t>
            </w:r>
          </w:p>
        </w:tc>
        <w:tc>
          <w:tcPr>
            <w:tcW w:type="dxa" w:w="2880"/>
          </w:tcPr>
          <w:p>
            <w:r>
              <w:t>john.carter@acme-law.com</w:t>
            </w:r>
          </w:p>
        </w:tc>
        <w:tc>
          <w:tcPr>
            <w:tcW w:type="dxa" w:w="2880"/>
          </w:tcPr>
          <w:p>
            <w:r>
              <w:t>GB29NWBK60161331926819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