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Counsel Giulia Rossi filed the motion on behalf of the plaintiff.</w:t>
      </w:r>
    </w:p>
    <w:p>
      <w:r>
        <w:t>Ms. Rossi argued that the evidence was inadmissible under Rule 403.</w:t>
      </w:r>
    </w:p>
    <w:p>
      <w:r>
        <w:t>The court, unpersuaded, denied G. Rossi's motion in its entirety.</w:t>
      </w:r>
    </w:p>
    <w:p>
      <w:r>
        <w:t>Separately, Mario Bianchi, called as a witness, confirmed the dates.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