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case was argued before the Supreme Court of the United States in October.</w:t>
      </w:r>
    </w:p>
    <w:p>
      <w:r>
        <w:t>Our client, Sarah Johnson, is the lead engineer on Project Falcon, a confidential initiative at Initech, LLC.</w:t>
      </w:r>
    </w:p>
    <w:p>
      <w:r>
        <w:t>Please do not share Project Falcon details with anyone outside counsel.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