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Letter — part 1 of 2</w:t>
      </w:r>
    </w:p>
    <w:p>
      <w:r>
        <w:t>To whom it may concern: Mr. John Carter represents our client Giulia Rossi in the matter of ACME Industries vs. Globex S.r.l.</w:t>
      </w:r>
    </w:p>
    <w:p>
      <w:r>
        <w:t>Please direct correspondence to john.carter@acme-law.com.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