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Letter — part 2 of 2</w:t>
      </w:r>
    </w:p>
    <w:p>
      <w:r>
        <w:t>Further to our letter of yesterday: Giulia Rossi has authorised settlement negotiations with ACME Industries.</w:t>
      </w:r>
    </w:p>
    <w:p>
      <w:r>
        <w:t>Mr. Carter will travel to Milan next week to meet with Mario Bianchi of Globex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