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jc w:val="center"/>
      </w:pPr>
      <w:r>
        <w:drawing>
          <wp:inline distT="0" distB="0" distL="0" distR="0">
            <wp:extent cx="762000" cy="762000"/>
            <wp:effectExtent t="0" r="0" b="0" l="0"/>
            <wp:docPr id="1" name="logo" descr="Logo de Plazafolio" title="Plaza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0" w:before="300"/>
      </w:pPr>
    </w:p>
    <w:p>
      <w:pPr>
        <w:spacing w:after="80"/>
        <w:jc w:val="center"/>
      </w:pPr>
      <w:r>
        <w:rPr>
          <w:rFonts w:ascii="Inter" w:cs="Inter" w:eastAsia="Inter" w:hAnsi="Inter"/>
          <w:b/>
          <w:bCs/>
          <w:color w:val="0F1117"/>
          <w:spacing w:val="240"/>
          <w:sz w:val="56"/>
          <w:szCs w:val="56"/>
        </w:rPr>
        <w:t xml:space="preserve">PLAZAFOLIO</w:t>
      </w:r>
    </w:p>
    <w:p>
      <w:pPr>
        <w:spacing w:after="40"/>
        <w:jc w:val="center"/>
      </w:pPr>
      <w:r>
        <w:rPr>
          <w:rFonts w:ascii="Inter" w:cs="Inter" w:eastAsia="Inter" w:hAnsi="Inter"/>
          <w:color w:val="405BFF"/>
          <w:sz w:val="26"/>
          <w:szCs w:val="26"/>
        </w:rPr>
        <w:t xml:space="preserve">Plataforma de Análisis de Inversión en Dividendos</w:t>
      </w:r>
    </w:p>
    <w:p>
      <w:pPr>
        <w:pBdr>
          <w:bottom w:val="single" w:color="405BFF" w:sz="2" w:space="12"/>
        </w:pBdr>
        <w:jc w:val="center"/>
      </w:pPr>
    </w:p>
    <w:p>
      <w:pPr>
        <w:spacing w:after="0" w:before="400"/>
      </w:pPr>
    </w:p>
    <w:p>
      <w:pPr>
        <w:spacing w:after="60"/>
        <w:jc w:val="center"/>
      </w:pPr>
      <w:r>
        <w:rPr>
          <w:rFonts w:ascii="Inter" w:cs="Inter" w:eastAsia="Inter" w:hAnsi="Inter"/>
          <w:color w:val="52525B"/>
          <w:sz w:val="28"/>
          <w:szCs w:val="28"/>
        </w:rPr>
        <w:t xml:space="preserve">Documentación Técnica</w:t>
      </w:r>
    </w:p>
    <w:p>
      <w:pPr>
        <w:spacing w:after="60"/>
        <w:jc w:val="center"/>
      </w:pPr>
      <w:r>
        <w:rPr>
          <w:rFonts w:ascii="Inter" w:cs="Inter" w:eastAsia="Inter" w:hAnsi="Inter"/>
          <w:color w:val="A1A1AA"/>
          <w:sz w:val="18"/>
          <w:szCs w:val="18"/>
        </w:rPr>
        <w:t xml:space="preserve">Arquitectura, Modelos de Scoring, Fórmulas y Fuentes de Datos</w:t>
      </w:r>
    </w:p>
    <w:p>
      <w:pPr>
        <w:spacing w:after="0" w:before="2000"/>
      </w:pPr>
    </w:p>
    <w:p>
      <w:pPr>
        <w:jc w:val="center"/>
      </w:pPr>
      <w:r>
        <w:rPr>
          <w:rFonts w:ascii="Inter" w:cs="Inter" w:eastAsia="Inter" w:hAnsi="Inter"/>
          <w:color w:val="A1A1AA"/>
          <w:sz w:val="18"/>
          <w:szCs w:val="18"/>
        </w:rPr>
        <w:t xml:space="preserve">v1.0  —  Abril 2026</w:t>
      </w:r>
    </w:p>
    <w:p>
      <w:pPr>
        <w:jc w:val="center"/>
      </w:pPr>
      <w:r>
        <w:rPr>
          <w:rFonts w:ascii="Inter" w:cs="Inter" w:eastAsia="Inter" w:hAnsi="Inter"/>
          <w:color w:val="A1A1AA"/>
          <w:sz w:val="18"/>
          <w:szCs w:val="18"/>
        </w:rPr>
        <w:t xml:space="preserve">Confidencial — Uso Interno</w:t>
      </w:r>
    </w:p>
    <w:p>
      <w:pPr>
        <w:sectPr>
          <w:pgSz w:w="11906" w:h="16838" w:orient="portrait"/>
          <w:pgMar w:top="1200" w:right="1200" w:bottom="1200" w:left="1200" w:header="708" w:footer="708" w:gutter="0"/>
          <w:pgNumType/>
          <w:docGrid w:linePitch="360"/>
        </w:sectPr>
      </w:pPr>
    </w:p>
    <w:p>
      <w:pPr>
        <w:pStyle w:val="Heading1"/>
      </w:pPr>
      <w:r>
        <w:t xml:space="preserve">1. Introducción</w:t>
      </w:r>
    </w:p>
    <w:p>
      <w:pPr>
        <w:spacing w:after="120"/>
      </w:pPr>
      <w:r>
        <w:rPr>
          <w:rFonts w:ascii="Inter" w:cs="Inter" w:eastAsia="Inter" w:hAnsi="Inter"/>
          <w:color w:val="52525B"/>
          <w:sz w:val="21"/>
          <w:szCs w:val="21"/>
        </w:rPr>
        <w:t xml:space="preserve">Plazafolio es una plataforma de análisis de inversión en dividendos construida sobre la </w:t>
      </w:r>
      <w:r>
        <w:rPr>
          <w:rFonts w:ascii="Inter" w:cs="Inter" w:eastAsia="Inter" w:hAnsi="Inter"/>
          <w:b/>
          <w:bCs/>
          <w:color w:val="0F1117"/>
          <w:sz w:val="21"/>
          <w:szCs w:val="21"/>
        </w:rPr>
        <w:t xml:space="preserve">metodología de inversión en valor de Geraldine Weiss</w:t>
      </w:r>
      <w:r>
        <w:rPr>
          <w:rFonts w:ascii="Inter" w:cs="Inter" w:eastAsia="Inter" w:hAnsi="Inter"/>
          <w:color w:val="52525B"/>
          <w:sz w:val="21"/>
          <w:szCs w:val="21"/>
        </w:rPr>
        <w:t xml:space="preserve">. Combina datos de mercado en tiempo real, análisis histórico de yield, scoring fundamental e insights potenciados por IA para ayudar a los inversores a identificar acciones infravaloradas que pagan dividendos, construir portfolios óptimos y proyectar el crecimiento de ingresos a largo plazo.</w:t>
      </w:r>
    </w:p>
    <w:p>
      <w:pPr>
        <w:spacing w:after="120"/>
      </w:pPr>
      <w:r>
        <w:rPr>
          <w:rFonts w:ascii="Inter" w:cs="Inter" w:eastAsia="Inter" w:hAnsi="Inter"/>
          <w:color w:val="52525B"/>
          <w:sz w:val="21"/>
          <w:szCs w:val="21"/>
        </w:rPr>
        <w:t xml:space="preserve">Este documento detalla cada cálculo, fórmula y fuente de datos utilizada en la plataforma. Sirve como referencia definitiva para entender cómo se deriva cada métrica, puntuación, señal y recomendación.</w:t>
      </w:r>
    </w:p>
    <w:p>
      <w:pPr>
        <w:pStyle w:val="Heading3"/>
      </w:pPr>
      <w:r>
        <w:t xml:space="preserve">Filosofía Base</w:t>
      </w:r>
    </w:p>
    <w:p>
      <w:pPr>
        <w:spacing w:after="120"/>
      </w:pPr>
      <w:r>
        <w:rPr>
          <w:rFonts w:ascii="Inter" w:cs="Inter" w:eastAsia="Inter" w:hAnsi="Inter"/>
          <w:color w:val="52525B"/>
          <w:sz w:val="21"/>
          <w:szCs w:val="21"/>
        </w:rPr>
        <w:t xml:space="preserve">Geraldine Weiss (1926–2022) fue pionera en el concepto de que el </w:t>
      </w:r>
      <w:r>
        <w:rPr>
          <w:rFonts w:ascii="Inter" w:cs="Inter" w:eastAsia="Inter" w:hAnsi="Inter"/>
          <w:b/>
          <w:bCs/>
          <w:color w:val="0F1117"/>
          <w:sz w:val="21"/>
          <w:szCs w:val="21"/>
        </w:rPr>
        <w:t xml:space="preserve">dividend yield</w:t>
      </w:r>
      <w:r>
        <w:rPr>
          <w:rFonts w:ascii="Inter" w:cs="Inter" w:eastAsia="Inter" w:hAnsi="Inter"/>
          <w:color w:val="52525B"/>
          <w:sz w:val="21"/>
          <w:szCs w:val="21"/>
        </w:rPr>
        <w:t xml:space="preserve"> es la medida más fiable del valor de una acción. Su método compara el yield actual de una acción con su rango histórico de yield para determinar si está infravalorada (yield alto = precio bajo) o sobrevalorada (yield bajo = precio alto). Plazafolio extiende este enfoque con herramientas modernas de scoring cuantitativo y proyección.</w:t>
      </w:r>
    </w:p>
    <w:p>
      <w:pPr>
        <w:pStyle w:val="Heading3"/>
      </w:pPr>
      <w:r>
        <w:t xml:space="preserve">Fuentes de Datos</w:t>
      </w:r>
    </w:p>
    <w:p>
      <w:pPr>
        <w:spacing w:after="120"/>
      </w:pPr>
      <w:r>
        <w:rPr>
          <w:rFonts w:ascii="Inter" w:cs="Inter" w:eastAsia="Inter" w:hAnsi="Inter"/>
          <w:color w:val="52525B"/>
          <w:sz w:val="21"/>
          <w:szCs w:val="21"/>
        </w:rPr>
        <w:t xml:space="preserve">Todos los datos financieros provienen de: Yahoo Finance (precios, dividendos, fundamentales), Financial Modeling Prep API (perfiles de empresa, estados financieros, cash flow), SEC EDGAR / ESEF (informes regulatorios y memorias anuales), y Google Gemini (análisis narrativo con IA cuando está configurado).</w:t>
      </w:r>
    </w:p>
    <w:p>
      <w:pPr>
        <w:pBdr>
          <w:bottom w:val="single" w:color="E2E8F0" w:sz="1" w:space="8"/>
        </w:pBdr>
        <w:spacing w:after="200" w:before="200"/>
      </w:pPr>
    </w:p>
    <w:p>
      <w:pPr>
        <w:pStyle w:val="Heading1"/>
      </w:pPr>
      <w:r>
        <w:t xml:space="preserve">2. Visión General de la Plataforma</w:t>
      </w:r>
    </w:p>
    <w:p>
      <w:pPr>
        <w:spacing w:after="120"/>
      </w:pPr>
      <w:r>
        <w:rPr>
          <w:rFonts w:ascii="Inter" w:cs="Inter" w:eastAsia="Inter" w:hAnsi="Inter"/>
          <w:color w:val="52525B"/>
          <w:sz w:val="21"/>
          <w:szCs w:val="21"/>
        </w:rPr>
        <w:t xml:space="preserve">La plataforma se organiza en seis vistas principales, cada una con un propósito analítico diferente.</w:t>
      </w:r>
    </w:p>
    <w:p>
      <w:pPr>
        <w:pStyle w:val="Heading2"/>
      </w:pPr>
      <w:r>
        <w:t xml:space="preserve">2.1 Análisis</w:t>
      </w:r>
    </w:p>
    <w:p>
      <w:pPr>
        <w:spacing w:after="120"/>
      </w:pPr>
      <w:r>
        <w:rPr>
          <w:rFonts w:ascii="Inter" w:cs="Inter" w:eastAsia="Inter" w:hAnsi="Inter"/>
          <w:color w:val="52525B"/>
          <w:sz w:val="21"/>
          <w:szCs w:val="21"/>
        </w:rPr>
        <w:t xml:space="preserve">El dashboard principal de análisis para una acción seleccionada. Muestra las bandas de precio de Geraldine Weiss (zonas de infravalorado/sobrevalorado), la progresión histórica del yield, el historial de pagos de dividendos, proyecciones CAGR, drawdown desde máximos, sostenibilidad del payout, tendencias de ingresos/márgenes/deuda, y múltiplos de valoración EV/EBITDA y EV/FCF. Los informes SEC/ESEF pueden resumirse vía Gemini AI con reproducción de audio opcional. Incluye una tarjeta de Seguridad del Dividendo con scoring mecánico.</w:t>
      </w:r>
    </w:p>
    <w:p>
      <w:pPr>
        <w:pStyle w:val="Heading2"/>
      </w:pPr>
      <w:r>
        <w:t xml:space="preserve">2.2 Ranking</w:t>
      </w:r>
    </w:p>
    <w:p>
      <w:pPr>
        <w:spacing w:after="120"/>
      </w:pPr>
      <w:r>
        <w:rPr>
          <w:rFonts w:ascii="Inter" w:cs="Inter" w:eastAsia="Inter" w:hAnsi="Inter"/>
          <w:color w:val="52525B"/>
          <w:sz w:val="21"/>
          <w:szCs w:val="21"/>
        </w:rPr>
        <w:t xml:space="preserve">Clasifica todos los activos seguidos por el Buy Score compuesto de Weiss (0–100). Cada activo muestra un desglose de 7 factores con barras heat-coded: posición de yield, crecimiento CAGR, consistencia, margen de seguridad, racha de dividendos, ratio de payout y fundamentales. La señal (Compra Fuerte, Compra, Vigilar, Mantener, Caro, Vender) se deriva directamente de la puntuación.</w:t>
      </w:r>
    </w:p>
    <w:p>
      <w:pPr>
        <w:pStyle w:val="Heading2"/>
      </w:pPr>
      <w:r>
        <w:t xml:space="preserve">2.3 Portfolio</w:t>
      </w:r>
    </w:p>
    <w:p>
      <w:pPr>
        <w:spacing w:after="120"/>
      </w:pPr>
      <w:r>
        <w:rPr>
          <w:rFonts w:ascii="Inter" w:cs="Inter" w:eastAsia="Inter" w:hAnsi="Inter"/>
          <w:color w:val="52525B"/>
          <w:sz w:val="21"/>
          <w:szCs w:val="21"/>
        </w:rPr>
        <w:t xml:space="preserve">Muestra las posiciones con métricas: valor total, income anual por dividendos, yield ponderado sobre coste y P&amp;L. Incluye gráficos de distribución (por activo y por sector). Seguimiento de transacciones con historial completo de compra/venta. Vista detallada por activo con gráficas e informes.</w:t>
      </w:r>
    </w:p>
    <w:p>
      <w:pPr>
        <w:pStyle w:val="Heading2"/>
      </w:pPr>
      <w:r>
        <w:t xml:space="preserve">2.4 Dividendos</w:t>
      </w:r>
    </w:p>
    <w:p>
      <w:pPr>
        <w:spacing w:after="120"/>
      </w:pPr>
      <w:r>
        <w:rPr>
          <w:rFonts w:ascii="Inter" w:cs="Inter" w:eastAsia="Inter" w:hAnsi="Inter"/>
          <w:color w:val="52525B"/>
          <w:sz w:val="21"/>
          <w:szCs w:val="21"/>
        </w:rPr>
        <w:t xml:space="preserve">Vista de calendario de pagos de dividendos por mes. Muestra los pagos esperados basados en detección histórica de frecuencia (mensual, trimestral, semestral, anual). Las tarjetas KPI muestran totales de income mensual/anual. Enlaza con el Simulador para optimización de ingresos.</w:t>
      </w:r>
    </w:p>
    <w:p>
      <w:pPr>
        <w:pStyle w:val="Heading2"/>
      </w:pPr>
      <w:r>
        <w:t xml:space="preserve">2.5 Simulador</w:t>
      </w:r>
    </w:p>
    <w:p>
      <w:pPr>
        <w:spacing w:after="120"/>
      </w:pPr>
      <w:r>
        <w:rPr>
          <w:rFonts w:ascii="Inter" w:cs="Inter" w:eastAsia="Inter" w:hAnsi="Inter"/>
          <w:color w:val="52525B"/>
          <w:sz w:val="21"/>
          <w:szCs w:val="21"/>
        </w:rPr>
        <w:t xml:space="preserve">Motor de optimización de inversión. Dado un importe a invertir y un horizonte temporal, puntua todos los activos candidatos usando un modelo compuesto de 4 factores, asigna capital con ponderación dinámica, proyecta ingresos vía compounding DRIP y muestra el impacto en la cartera (métricas antes/después). Incluye texto de análisis generado por Gemini explicando la recomendación.</w:t>
      </w:r>
    </w:p>
    <w:p>
      <w:pPr>
        <w:pStyle w:val="Heading2"/>
      </w:pPr>
      <w:r>
        <w:t xml:space="preserve">2.6 Ajustes</w:t>
      </w:r>
    </w:p>
    <w:p>
      <w:pPr>
        <w:spacing w:after="120"/>
      </w:pPr>
      <w:r>
        <w:rPr>
          <w:rFonts w:ascii="Inter" w:cs="Inter" w:eastAsia="Inter" w:hAnsi="Inter"/>
          <w:color w:val="52525B"/>
          <w:sz w:val="21"/>
          <w:szCs w:val="21"/>
        </w:rPr>
        <w:t xml:space="preserve">Configuración de la clave API de Google Gemini. Valida la conectividad y muestra las cuotas de modelos disponibles. La plataforma funciona sin Gemini (análisis básico), pero las funcionalidades de IA lo requieren.</w:t>
      </w:r>
    </w:p>
    <w:p>
      <w:pPr>
        <w:pBdr>
          <w:bottom w:val="single" w:color="E2E8F0" w:sz="1" w:space="8"/>
        </w:pBdr>
        <w:spacing w:after="200" w:before="200"/>
      </w:pPr>
    </w:p>
    <w:p>
      <w:pPr>
        <w:pStyle w:val="Heading1"/>
      </w:pPr>
      <w:r>
        <w:t xml:space="preserve">3. Motor de Análisis Geraldine Weiss</w:t>
      </w:r>
    </w:p>
    <w:p>
      <w:pPr>
        <w:spacing w:after="120"/>
      </w:pPr>
      <w:r>
        <w:rPr>
          <w:rFonts w:ascii="Inter" w:cs="Inter" w:eastAsia="Inter" w:hAnsi="Inter"/>
          <w:color w:val="52525B"/>
          <w:sz w:val="21"/>
          <w:szCs w:val="21"/>
        </w:rPr>
        <w:t xml:space="preserve">Este es el motor analítico central. Procesa el historial de dividendos y precios para producir canales de yield, bandas de precio y señales de valoración.</w:t>
      </w:r>
    </w:p>
    <w:p>
      <w:pPr>
        <w:pStyle w:val="Heading2"/>
      </w:pPr>
      <w:r>
        <w:t xml:space="preserve">3.1 Detección de Frecuencia de Dividendo</w:t>
      </w:r>
    </w:p>
    <w:p>
      <w:pPr>
        <w:spacing w:after="120"/>
      </w:pPr>
      <w:r>
        <w:rPr>
          <w:rFonts w:ascii="Inter" w:cs="Inter" w:eastAsia="Inter" w:hAnsi="Inter"/>
          <w:color w:val="52525B"/>
          <w:sz w:val="21"/>
          <w:szCs w:val="21"/>
        </w:rPr>
        <w:t xml:space="preserve">El sistema analiza los últimos 8 pagos de dividendos para determinar la frecuencia de pago. Calcula el número medio de días entre pagos y clasifica: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Intervalo Medio</w:t>
            </w:r>
          </w:p>
        </w:tc>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Frecuencia</w:t>
            </w:r>
          </w:p>
        </w:tc>
        <w:tc>
          <w:tcPr>
            <w:tcW w:type="dxa" w:w="317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Multiplicador</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&lt; 50 días</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Mensual</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12</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50–120 días</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Trimestral</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4</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120–250 días</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Semestral</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2</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 250 días</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Anual</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w:t>
            </w:r>
          </w:p>
        </w:tc>
      </w:tr>
    </w:tbl>
    <w:p>
      <w:pPr>
        <w:spacing w:after="120"/>
      </w:pPr>
      <w:r>
        <w:rPr>
          <w:rFonts w:ascii="Inter" w:cs="Inter" w:eastAsia="Inter" w:hAnsi="Inter"/>
          <w:color w:val="A1A1AA"/>
          <w:sz w:val="18"/>
          <w:szCs w:val="18"/>
        </w:rPr>
        <w:t xml:space="preserve">Los intervalos &gt; 400 días (13+ meses) se excluyen como gaps.</w:t>
      </w:r>
    </w:p>
    <w:p>
      <w:pPr>
        <w:pStyle w:val="Heading2"/>
      </w:pPr>
      <w:r>
        <w:t xml:space="preserve">3.2 Dividendo Anual Trailing</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annualDividend = lastDividendAmount × frequency</w:t>
      </w:r>
    </w:p>
    <w:p>
      <w:pPr>
        <w:spacing w:after="120"/>
        <w:ind w:left="360"/>
      </w:pPr>
      <w:r>
        <w:rPr>
          <w:rFonts w:ascii="Inter" w:cs="Inter" w:eastAsia="Inter" w:hAnsi="Inter"/>
          <w:i/>
          <w:iCs/>
          <w:color w:val="A1A1AA"/>
          <w:sz w:val="18"/>
          <w:szCs w:val="18"/>
        </w:rPr>
        <w:t xml:space="preserve">La extrapolación basada en frecuencia evita artefactos de doble conteo en ventanas móviles.</w:t>
      </w:r>
    </w:p>
    <w:p>
      <w:pPr>
        <w:pStyle w:val="Heading2"/>
      </w:pPr>
      <w:r>
        <w:t xml:space="preserve">3.3 Dividend Yield Diario</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dividendYield = (annualDividend / closePrice) × 100</w:t>
      </w:r>
    </w:p>
    <w:p>
      <w:pPr>
        <w:spacing w:after="120"/>
        <w:ind w:left="360"/>
      </w:pPr>
      <w:r>
        <w:rPr>
          <w:rFonts w:ascii="Inter" w:cs="Inter" w:eastAsia="Inter" w:hAnsi="Inter"/>
          <w:i/>
          <w:iCs/>
          <w:color w:val="A1A1AA"/>
          <w:sz w:val="18"/>
          <w:szCs w:val="18"/>
        </w:rPr>
        <w:t xml:space="preserve">El yield permanece constante entre fechas de pago, creando un efecto escalonado en el canal de yield.</w:t>
      </w:r>
    </w:p>
    <w:p>
      <w:pPr>
        <w:pStyle w:val="Heading2"/>
      </w:pPr>
      <w:r>
        <w:t xml:space="preserve">3.4 Bandas Históricas de Yield</w:t>
      </w:r>
    </w:p>
    <w:p>
      <w:pPr>
        <w:spacing w:after="120"/>
      </w:pPr>
      <w:r>
        <w:rPr>
          <w:rFonts w:ascii="Inter" w:cs="Inter" w:eastAsia="Inter" w:hAnsi="Inter"/>
          <w:color w:val="52525B"/>
          <w:sz w:val="21"/>
          <w:szCs w:val="21"/>
        </w:rPr>
        <w:t xml:space="preserve">El canal de yield se calcula usando límites estadísticos basados en percentiles sobre el periodo de análisis configurado (8, 10, 12 o 15 años). Esto evita extremos de max/min anuales y usa la distribución completa.</w:t>
      </w:r>
    </w:p>
    <w:p>
      <w:pPr>
        <w:spacing w:after="60" w:before="160"/>
      </w:pPr>
      <w:r>
        <w:rPr>
          <w:rFonts w:ascii="Inter" w:cs="Inter" w:eastAsia="Inter" w:hAnsi="Inter"/>
          <w:b/>
          <w:bCs/>
          <w:color w:val="405BFF"/>
          <w:sz w:val="20"/>
          <w:szCs w:val="20"/>
        </w:rPr>
        <w:t xml:space="preserve">Interpolación de Percentil</w:t>
      </w:r>
    </w:p>
    <w:p>
      <w:pPr>
        <w:shd w:fill="F0F4FF" w:val="clear"/>
        <w:spacing w:after="40"/>
        <w:ind w:left="360"/>
      </w:pPr>
      <w:r>
        <w:rPr>
          <w:rFonts w:ascii="Consolas" w:cs="Consolas" w:eastAsia="Consolas" w:hAnsi="Consolas"/>
          <w:color w:val="334155"/>
          <w:sz w:val="19"/>
          <w:szCs w:val="19"/>
        </w:rPr>
        <w:t xml:space="preserve">idx = (percentil / 100) × (n - 1)
valor = arr[floor(idx)] + (arr[ceil(idx)] - arr[floor(idx)]) × (idx - floor(idx))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Banda</w:t>
            </w:r>
          </w:p>
        </w:tc>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Percentil</w:t>
            </w:r>
          </w:p>
        </w:tc>
        <w:tc>
          <w:tcPr>
            <w:tcW w:type="dxa" w:w="317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Significado</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avgHighYield</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P97 (percentil 97)</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Zona histórica de yield alto</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avgLowYield</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P3 (percentil 3)</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Zona histórica de yield bajo</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avgYield</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Media</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Media aritmética de todos los yields</w:t>
            </w:r>
          </w:p>
        </w:tc>
      </w:tr>
    </w:tbl>
    <w:p>
      <w:pPr>
        <w:pStyle w:val="Heading2"/>
      </w:pPr>
      <w:r>
        <w:t xml:space="preserve">3.5 Bandas de Precio (Zonas de Valoración)</w:t>
      </w:r>
    </w:p>
    <w:p>
      <w:pPr>
        <w:spacing w:after="120"/>
      </w:pPr>
      <w:r>
        <w:rPr>
          <w:rFonts w:ascii="Inter" w:cs="Inter" w:eastAsia="Inter" w:hAnsi="Inter"/>
          <w:color w:val="52525B"/>
          <w:sz w:val="21"/>
          <w:szCs w:val="21"/>
        </w:rPr>
        <w:t xml:space="preserve">Invertir las bandas de yield produce objetivos de precio. Cuando el precio baja lo suficiente como para que el yield alcance los máximos históricos, la acción se considera infravalorada:</w:t>
      </w:r>
    </w:p>
    <w:p>
      <w:pPr>
        <w:spacing w:after="60" w:before="160"/>
      </w:pPr>
      <w:r>
        <w:rPr>
          <w:rFonts w:ascii="Inter" w:cs="Inter" w:eastAsia="Inter" w:hAnsi="Inter"/>
          <w:b/>
          <w:bCs/>
          <w:color w:val="405BFF"/>
          <w:sz w:val="20"/>
          <w:szCs w:val="20"/>
        </w:rPr>
        <w:t xml:space="preserve">Precio Infravalorado</w:t>
      </w:r>
    </w:p>
    <w:p>
      <w:pPr>
        <w:shd w:fill="F0F4FF" w:val="clear"/>
        <w:spacing w:after="40"/>
        <w:ind w:left="360"/>
      </w:pPr>
      <w:r>
        <w:rPr>
          <w:rFonts w:ascii="Consolas" w:cs="Consolas" w:eastAsia="Consolas" w:hAnsi="Consolas"/>
          <w:color w:val="334155"/>
          <w:sz w:val="19"/>
          <w:szCs w:val="19"/>
        </w:rPr>
        <w:t xml:space="preserve">undervaluedPrice = (annualDividend / avgHighYield) × 100</w:t>
      </w:r>
    </w:p>
    <w:p>
      <w:pPr>
        <w:spacing w:after="120"/>
        <w:ind w:left="360"/>
      </w:pPr>
      <w:r>
        <w:rPr>
          <w:rFonts w:ascii="Inter" w:cs="Inter" w:eastAsia="Inter" w:hAnsi="Inter"/>
          <w:i/>
          <w:iCs/>
          <w:color w:val="A1A1AA"/>
          <w:sz w:val="18"/>
          <w:szCs w:val="18"/>
        </w:rPr>
        <w:t xml:space="preserve">Precio al que el yield alcanza máximos históricos → señal de COMPRA</w:t>
      </w:r>
    </w:p>
    <w:p>
      <w:pPr>
        <w:spacing w:after="60" w:before="160"/>
      </w:pPr>
      <w:r>
        <w:rPr>
          <w:rFonts w:ascii="Inter" w:cs="Inter" w:eastAsia="Inter" w:hAnsi="Inter"/>
          <w:b/>
          <w:bCs/>
          <w:color w:val="405BFF"/>
          <w:sz w:val="20"/>
          <w:szCs w:val="20"/>
        </w:rPr>
        <w:t xml:space="preserve">Precio Sobrevalorado</w:t>
      </w:r>
    </w:p>
    <w:p>
      <w:pPr>
        <w:shd w:fill="F0F4FF" w:val="clear"/>
        <w:spacing w:after="40"/>
        <w:ind w:left="360"/>
      </w:pPr>
      <w:r>
        <w:rPr>
          <w:rFonts w:ascii="Consolas" w:cs="Consolas" w:eastAsia="Consolas" w:hAnsi="Consolas"/>
          <w:color w:val="334155"/>
          <w:sz w:val="19"/>
          <w:szCs w:val="19"/>
        </w:rPr>
        <w:t xml:space="preserve">overvaluedPrice = (annualDividend / avgLowYield) × 100</w:t>
      </w:r>
    </w:p>
    <w:p>
      <w:pPr>
        <w:spacing w:after="120"/>
        <w:ind w:left="360"/>
      </w:pPr>
      <w:r>
        <w:rPr>
          <w:rFonts w:ascii="Inter" w:cs="Inter" w:eastAsia="Inter" w:hAnsi="Inter"/>
          <w:i/>
          <w:iCs/>
          <w:color w:val="A1A1AA"/>
          <w:sz w:val="18"/>
          <w:szCs w:val="18"/>
        </w:rPr>
        <w:t xml:space="preserve">Precio al que el yield cae a mínimos históricos → señal de VENTA</w:t>
      </w:r>
    </w:p>
    <w:p>
      <w:pPr>
        <w:pStyle w:val="Heading2"/>
      </w:pPr>
      <w:r>
        <w:t xml:space="preserve">3.6 Yield Ratio (Posición en el Canal)</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yieldRatio = (currentYield - avgLowYield) / (avgHighYield - avgLowYield)</w:t>
      </w:r>
    </w:p>
    <w:p>
      <w:pPr>
        <w:spacing w:after="120"/>
        <w:ind w:left="360"/>
      </w:pPr>
      <w:r>
        <w:rPr>
          <w:rFonts w:ascii="Inter" w:cs="Inter" w:eastAsia="Inter" w:hAnsi="Inter"/>
          <w:i/>
          <w:iCs/>
          <w:color w:val="A1A1AA"/>
          <w:sz w:val="18"/>
          <w:szCs w:val="18"/>
        </w:rPr>
        <w:t xml:space="preserve">0 = en límite de sobrevalorado, 1.0 = en límite de infravalorado, &gt;1.0 = más allá de la zona histórica de compra</w:t>
      </w:r>
    </w:p>
    <w:p>
      <w:pPr>
        <w:pStyle w:val="Heading2"/>
      </w:pPr>
      <w:r>
        <w:t xml:space="preserve">3.7 Crecimiento del Dividendo (CAGR)</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CAGR = (lastDividend / firstDividend) ^ (1 / numYears) - 1</w:t>
      </w:r>
    </w:p>
    <w:p>
      <w:pPr>
        <w:spacing w:after="120"/>
        <w:ind w:left="360"/>
      </w:pPr>
      <w:r>
        <w:rPr>
          <w:rFonts w:ascii="Inter" w:cs="Inter" w:eastAsia="Inter" w:hAnsi="Inter"/>
          <w:i/>
          <w:iCs/>
          <w:color w:val="A1A1AA"/>
          <w:sz w:val="18"/>
          <w:szCs w:val="18"/>
        </w:rPr>
        <w:t xml:space="preserve">Tasa de Crecimiento Anual Compuesto del dividendo trailing anual sobre el periodo completo del historial.</w:t>
      </w:r>
    </w:p>
    <w:p>
      <w:pPr>
        <w:spacing w:after="60" w:before="160"/>
      </w:pPr>
      <w:r>
        <w:rPr>
          <w:rFonts w:ascii="Inter" w:cs="Inter" w:eastAsia="Inter" w:hAnsi="Inter"/>
          <w:b/>
          <w:bCs/>
          <w:color w:val="405BFF"/>
          <w:sz w:val="20"/>
          <w:szCs w:val="20"/>
        </w:rPr>
        <w:t xml:space="preserve">Proyección</w:t>
      </w:r>
    </w:p>
    <w:p>
      <w:pPr>
        <w:shd w:fill="F0F4FF" w:val="clear"/>
        <w:spacing w:after="40"/>
        <w:ind w:left="360"/>
      </w:pPr>
      <w:r>
        <w:rPr>
          <w:rFonts w:ascii="Consolas" w:cs="Consolas" w:eastAsia="Consolas" w:hAnsi="Consolas"/>
          <w:color w:val="334155"/>
          <w:sz w:val="19"/>
          <w:szCs w:val="19"/>
        </w:rPr>
        <w:t xml:space="preserve">projected[i] = lastDividend × (1 + CAGR)^i</w:t>
      </w:r>
    </w:p>
    <w:p>
      <w:pPr>
        <w:spacing w:after="120"/>
        <w:ind w:left="360"/>
      </w:pPr>
      <w:r>
        <w:rPr>
          <w:rFonts w:ascii="Inter" w:cs="Inter" w:eastAsia="Inter" w:hAnsi="Inter"/>
          <w:i/>
          <w:iCs/>
          <w:color w:val="A1A1AA"/>
          <w:sz w:val="18"/>
          <w:szCs w:val="18"/>
        </w:rPr>
        <w:t xml:space="preserve">Utilizado para los gráficos de proyección de income y escenarios del simulador.</w:t>
      </w:r>
    </w:p>
    <w:p>
      <w:pPr>
        <w:pStyle w:val="Heading2"/>
      </w:pPr>
      <w:r>
        <w:t xml:space="preserve">3.8 Potencial de Revalorización</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upsidePct = ((undervaluedPrice - currentPrice) / currentPrice) × 100</w:t>
      </w:r>
    </w:p>
    <w:p>
      <w:pPr>
        <w:spacing w:after="120"/>
        <w:ind w:left="360"/>
      </w:pPr>
      <w:r>
        <w:rPr>
          <w:rFonts w:ascii="Inter" w:cs="Inter" w:eastAsia="Inter" w:hAnsi="Inter"/>
          <w:i/>
          <w:iCs/>
          <w:color w:val="A1A1AA"/>
          <w:sz w:val="18"/>
          <w:szCs w:val="18"/>
        </w:rPr>
        <w:t xml:space="preserve">Distancia porcentual del precio actual a la zona histórica de compra. Positivo = margen de apreciación.</w:t>
      </w:r>
    </w:p>
    <w:p>
      <w:pPr>
        <w:pBdr>
          <w:bottom w:val="single" w:color="E2E8F0" w:sz="1" w:space="8"/>
        </w:pBdr>
        <w:spacing w:after="200" w:before="200"/>
      </w:pPr>
    </w:p>
    <w:p>
      <w:pPr>
        <w:pStyle w:val="Heading1"/>
      </w:pPr>
      <w:r>
        <w:t xml:space="preserve">4. Weiss Buy Score (0–100)</w:t>
      </w:r>
    </w:p>
    <w:p>
      <w:pPr>
        <w:spacing w:after="120"/>
      </w:pPr>
      <w:r>
        <w:rPr>
          <w:rFonts w:ascii="Inter" w:cs="Inter" w:eastAsia="Inter" w:hAnsi="Inter"/>
          <w:color w:val="52525B"/>
          <w:sz w:val="21"/>
          <w:szCs w:val="21"/>
        </w:rPr>
        <w:t xml:space="preserve">La puntuación compuesta que alimenta la página de Ranking. Agrega 7 factores en una sola puntuación de 0 a 100. El factor de posición de yield domina con un máximo de 45 puntos, reflejando la filosofía de Weiss de que el yield es la señal principal de valoración.</w:t>
      </w:r>
    </w:p>
    <w:p>
      <w:pPr>
        <w:pStyle w:val="Heading2"/>
      </w:pPr>
      <w:r>
        <w:t xml:space="preserve">4.1 Factor 1: Posición de Yield (0–45 pts)</w:t>
      </w:r>
    </w:p>
    <w:p>
      <w:pPr>
        <w:spacing w:after="120"/>
      </w:pPr>
      <w:r>
        <w:rPr>
          <w:rFonts w:ascii="Inter" w:cs="Inter" w:eastAsia="Inter" w:hAnsi="Inter"/>
          <w:color w:val="52525B"/>
          <w:sz w:val="21"/>
          <w:szCs w:val="21"/>
        </w:rPr>
        <w:t xml:space="preserve">El factor dominante. Utiliza el yieldRatio del motor Geraldine: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4754"/>
        <w:gridCol w:w="2376"/>
      </w:tblGrid>
      <w:tr>
        <w:tc>
          <w:tcPr>
            <w:tcW w:type="dxa" w:w="2376"/>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Yield Ratio</w:t>
            </w:r>
          </w:p>
        </w:tc>
        <w:tc>
          <w:tcPr>
            <w:tcW w:type="dxa" w:w="4754"/>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Fórmula</w:t>
            </w:r>
          </w:p>
        </w:tc>
        <w:tc>
          <w:tcPr>
            <w:tcW w:type="dxa" w:w="2376"/>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Puntos</w:t>
            </w:r>
          </w:p>
        </w:tc>
      </w:tr>
      <w:tr>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 1.0</w:t>
            </w:r>
          </w:p>
        </w:tc>
        <w:tc>
          <w:tcPr>
            <w:tcW w:type="dxa" w:w="4754"/>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32 + (min(yieldRatio - 1.0, 0.5) / 0.5) × 13</w:t>
            </w:r>
          </w:p>
        </w:tc>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32–45</w:t>
            </w:r>
          </w:p>
        </w:tc>
      </w:tr>
      <w:tr>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0.7–1.0</w:t>
            </w:r>
          </w:p>
        </w:tc>
        <w:tc>
          <w:tcPr>
            <w:tcW w:type="dxa" w:w="4754"/>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22 + ((yieldRatio - 0.7) / 0.3) × 10</w:t>
            </w:r>
          </w:p>
        </w:tc>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22–32</w:t>
            </w:r>
          </w:p>
        </w:tc>
      </w:tr>
      <w:tr>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0.4–0.7</w:t>
            </w:r>
          </w:p>
        </w:tc>
        <w:tc>
          <w:tcPr>
            <w:tcW w:type="dxa" w:w="4754"/>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10 + ((yieldRatio - 0.4) / 0.3) × 12</w:t>
            </w:r>
          </w:p>
        </w:tc>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10–22</w:t>
            </w:r>
          </w:p>
        </w:tc>
      </w:tr>
      <w:tr>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&lt; 0.4</w:t>
            </w:r>
          </w:p>
        </w:tc>
        <w:tc>
          <w:tcPr>
            <w:tcW w:type="dxa" w:w="4754"/>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(yieldRatio / 0.4) × 10</w:t>
            </w:r>
          </w:p>
        </w:tc>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0–10</w:t>
            </w:r>
          </w:p>
        </w:tc>
      </w:tr>
    </w:tbl>
    <w:p>
      <w:pPr>
        <w:pStyle w:val="Heading2"/>
      </w:pPr>
      <w:r>
        <w:t xml:space="preserve">4.2 Factor 2: Crecimiento CAGR (0–12 pts)</w:t>
      </w:r>
    </w:p>
    <w:p>
      <w:pPr>
        <w:spacing w:after="60" w:before="160"/>
      </w:pPr>
      <w:r>
        <w:rPr>
          <w:rFonts w:ascii="Inter" w:cs="Inter" w:eastAsia="Inter" w:hAnsi="Inter"/>
          <w:b/>
          <w:bCs/>
          <w:color w:val="405BFF"/>
          <w:sz w:val="20"/>
          <w:szCs w:val="20"/>
        </w:rPr>
        <w:t xml:space="preserve">Positivo</w:t>
      </w:r>
    </w:p>
    <w:p>
      <w:pPr>
        <w:shd w:fill="F0F4FF" w:val="clear"/>
        <w:spacing w:after="40"/>
        <w:ind w:left="360"/>
      </w:pPr>
      <w:r>
        <w:rPr>
          <w:rFonts w:ascii="Consolas" w:cs="Consolas" w:eastAsia="Consolas" w:hAnsi="Consolas"/>
          <w:color w:val="334155"/>
          <w:sz w:val="19"/>
          <w:szCs w:val="19"/>
        </w:rPr>
        <w:t xml:space="preserve">cagrScore = min(cagr × 0.8, 12)</w:t>
      </w:r>
    </w:p>
    <w:p>
      <w:pPr>
        <w:spacing w:after="120"/>
        <w:ind w:left="360"/>
      </w:pPr>
      <w:r>
        <w:rPr>
          <w:rFonts w:ascii="Inter" w:cs="Inter" w:eastAsia="Inter" w:hAnsi="Inter"/>
          <w:i/>
          <w:iCs/>
          <w:color w:val="A1A1AA"/>
          <w:sz w:val="18"/>
          <w:szCs w:val="18"/>
        </w:rPr>
        <w:t xml:space="preserve">5% CAGR = 4 pts, 15%+ = 12 pts</w:t>
      </w:r>
    </w:p>
    <w:p>
      <w:pPr>
        <w:spacing w:after="60" w:before="160"/>
      </w:pPr>
      <w:r>
        <w:rPr>
          <w:rFonts w:ascii="Inter" w:cs="Inter" w:eastAsia="Inter" w:hAnsi="Inter"/>
          <w:b/>
          <w:bCs/>
          <w:color w:val="405BFF"/>
          <w:sz w:val="20"/>
          <w:szCs w:val="20"/>
        </w:rPr>
        <w:t xml:space="preserve">Negativo</w:t>
      </w:r>
    </w:p>
    <w:p>
      <w:pPr>
        <w:shd w:fill="F0F4FF" w:val="clear"/>
        <w:spacing w:after="40"/>
        <w:ind w:left="360"/>
      </w:pPr>
      <w:r>
        <w:rPr>
          <w:rFonts w:ascii="Consolas" w:cs="Consolas" w:eastAsia="Consolas" w:hAnsi="Consolas"/>
          <w:color w:val="334155"/>
          <w:sz w:val="19"/>
          <w:szCs w:val="19"/>
        </w:rPr>
        <w:t xml:space="preserve">cagrScore = max(cagr × 0.5, -4)</w:t>
      </w:r>
    </w:p>
    <w:p>
      <w:pPr>
        <w:spacing w:after="120"/>
        <w:ind w:left="360"/>
      </w:pPr>
      <w:r>
        <w:rPr>
          <w:rFonts w:ascii="Inter" w:cs="Inter" w:eastAsia="Inter" w:hAnsi="Inter"/>
          <w:i/>
          <w:iCs/>
          <w:color w:val="A1A1AA"/>
          <w:sz w:val="18"/>
          <w:szCs w:val="18"/>
        </w:rPr>
        <w:t xml:space="preserve">Penalización máxima: -4 pts</w:t>
      </w:r>
    </w:p>
    <w:p>
      <w:pPr>
        <w:pStyle w:val="Heading2"/>
      </w:pPr>
      <w:r>
        <w:t xml:space="preserve">4.3 Factor 3: Consistencia (0–8 pts)</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consistencyScore = min(yearCount, 8)</w:t>
      </w:r>
    </w:p>
    <w:p>
      <w:pPr>
        <w:spacing w:after="120"/>
        <w:ind w:left="360"/>
      </w:pPr>
      <w:r>
        <w:rPr>
          <w:rFonts w:ascii="Inter" w:cs="Inter" w:eastAsia="Inter" w:hAnsi="Inter"/>
          <w:i/>
          <w:iCs/>
          <w:color w:val="A1A1AA"/>
          <w:sz w:val="18"/>
          <w:szCs w:val="18"/>
        </w:rPr>
        <w:t xml:space="preserve">Número de años naturales distintos con pagos de dividendos. 8+ años = puntuación máxima.</w:t>
      </w:r>
    </w:p>
    <w:p>
      <w:pPr>
        <w:pStyle w:val="Heading2"/>
      </w:pPr>
      <w:r>
        <w:t xml:space="preserve">4.4 Factor 4: Margen de Seguridad (0–5 pts)</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marginScore = min(upsidePct / 0.3, 1) × 5</w:t>
      </w:r>
    </w:p>
    <w:p>
      <w:pPr>
        <w:spacing w:after="120"/>
        <w:ind w:left="360"/>
      </w:pPr>
      <w:r>
        <w:rPr>
          <w:rFonts w:ascii="Inter" w:cs="Inter" w:eastAsia="Inter" w:hAnsi="Inter"/>
          <w:i/>
          <w:iCs/>
          <w:color w:val="A1A1AA"/>
          <w:sz w:val="18"/>
          <w:szCs w:val="18"/>
        </w:rPr>
        <w:t xml:space="preserve">30%+ de potencial alcista hasta precio infravalorado = 5 puntos completos.</w:t>
      </w:r>
    </w:p>
    <w:p>
      <w:pPr>
        <w:pStyle w:val="Heading2"/>
      </w:pPr>
      <w:r>
        <w:t xml:space="preserve">4.5 Factor 5: Racha de Dividendos (0–12 pts)</w:t>
      </w:r>
    </w:p>
    <w:p>
      <w:pPr>
        <w:spacing w:after="120"/>
      </w:pPr>
      <w:r>
        <w:rPr>
          <w:rFonts w:ascii="Inter" w:cs="Inter" w:eastAsia="Inter" w:hAnsi="Inter"/>
          <w:color w:val="52525B"/>
          <w:sz w:val="21"/>
          <w:szCs w:val="21"/>
        </w:rPr>
        <w:t xml:space="preserve">Años consecutivos de incremento anual del dividendo: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Racha</w:t>
            </w:r>
          </w:p>
        </w:tc>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Fórmula</w:t>
            </w:r>
          </w:p>
        </w:tc>
        <w:tc>
          <w:tcPr>
            <w:tcW w:type="dxa" w:w="317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Puntos</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 25 años</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Fijo</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12</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10–24 años</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8 + ((racha - 10) / 15) × 4</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8–11</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5–9 años</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4 + ((racha - 5) / 5) × 4</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4–8</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1–4 años</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Valor directo</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1–4</w:t>
            </w:r>
          </w:p>
        </w:tc>
      </w:tr>
    </w:tbl>
    <w:p>
      <w:pPr>
        <w:spacing w:after="120"/>
      </w:pPr>
      <w:r>
        <w:rPr>
          <w:rFonts w:ascii="Inter" w:cs="Inter" w:eastAsia="Inter" w:hAnsi="Inter"/>
          <w:color w:val="A1A1AA"/>
          <w:sz w:val="18"/>
          <w:szCs w:val="18"/>
        </w:rPr>
        <w:t xml:space="preserve">Los Dividend Aristocrats (≥25 años consecutivos) reciben automáticamente la puntuación máxima.</w:t>
      </w:r>
    </w:p>
    <w:p>
      <w:pPr>
        <w:pStyle w:val="Heading2"/>
      </w:pPr>
      <w:r>
        <w:t xml:space="preserve">4.6 Factor 6: Ratio de Payout (-8 a +5 pts)</w:t>
      </w:r>
    </w:p>
    <w:p>
      <w:pPr>
        <w:spacing w:after="120"/>
      </w:pPr>
      <w:r>
        <w:rPr>
          <w:rFonts w:ascii="Inter" w:cs="Inter" w:eastAsia="Inter" w:hAnsi="Inter"/>
          <w:color w:val="52525B"/>
          <w:sz w:val="21"/>
          <w:szCs w:val="21"/>
        </w:rPr>
        <w:t xml:space="preserve">Basado en payout sobre Free Cash Flow (preferido) o sobre Beneficio Neto (fallback):</w:t>
      </w:r>
    </w:p>
    <w:p>
      <w:pPr>
        <w:spacing w:after="60" w:before="160"/>
      </w:pPr>
      <w:r>
        <w:rPr>
          <w:rFonts w:ascii="Inter" w:cs="Inter" w:eastAsia="Inter" w:hAnsi="Inter"/>
          <w:b/>
          <w:bCs/>
          <w:color w:val="405BFF"/>
          <w:sz w:val="20"/>
          <w:szCs w:val="20"/>
        </w:rPr>
        <w:t xml:space="preserve">Payout FCF</w:t>
      </w:r>
    </w:p>
    <w:p>
      <w:pPr>
        <w:shd w:fill="F0F4FF" w:val="clear"/>
        <w:spacing w:after="40"/>
        <w:ind w:left="360"/>
      </w:pPr>
      <w:r>
        <w:rPr>
          <w:rFonts w:ascii="Consolas" w:cs="Consolas" w:eastAsia="Consolas" w:hAnsi="Consolas"/>
          <w:color w:val="334155"/>
          <w:sz w:val="19"/>
          <w:szCs w:val="19"/>
        </w:rPr>
        <w:t xml:space="preserve">fcfPayout = (dividendosPagados / freeCashFlow) × 100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4754"/>
        <w:gridCol w:w="2376"/>
      </w:tblGrid>
      <w:tr>
        <w:tc>
          <w:tcPr>
            <w:tcW w:type="dxa" w:w="2376"/>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Ratio Payout</w:t>
            </w:r>
          </w:p>
        </w:tc>
        <w:tc>
          <w:tcPr>
            <w:tcW w:type="dxa" w:w="4754"/>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Valoración</w:t>
            </w:r>
          </w:p>
        </w:tc>
        <w:tc>
          <w:tcPr>
            <w:tcW w:type="dxa" w:w="2376"/>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Puntos</w:t>
            </w:r>
          </w:p>
        </w:tc>
      </w:tr>
      <w:tr>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&lt; 30%</w:t>
            </w:r>
          </w:p>
        </w:tc>
        <w:tc>
          <w:tcPr>
            <w:tcW w:type="dxa" w:w="4754"/>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Muy seguro, margen para crecimiento</w:t>
            </w:r>
          </w:p>
        </w:tc>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16A34A"/>
                <w:sz w:val="18"/>
                <w:szCs w:val="18"/>
              </w:rPr>
              <w:t xml:space="preserve">+5</w:t>
            </w:r>
          </w:p>
        </w:tc>
      </w:tr>
      <w:tr>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30–50%</w:t>
            </w:r>
          </w:p>
        </w:tc>
        <w:tc>
          <w:tcPr>
            <w:tcW w:type="dxa" w:w="4754"/>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Saludable</w:t>
            </w:r>
          </w:p>
        </w:tc>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16A34A"/>
                <w:sz w:val="18"/>
                <w:szCs w:val="18"/>
              </w:rPr>
              <w:t xml:space="preserve">+3</w:t>
            </w:r>
          </w:p>
        </w:tc>
      </w:tr>
      <w:tr>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50–70%</w:t>
            </w:r>
          </w:p>
        </w:tc>
        <w:tc>
          <w:tcPr>
            <w:tcW w:type="dxa" w:w="4754"/>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Aceptable</w:t>
            </w:r>
          </w:p>
        </w:tc>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w:t>
            </w:r>
          </w:p>
        </w:tc>
      </w:tr>
      <w:tr>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70–85%</w:t>
            </w:r>
          </w:p>
        </w:tc>
        <w:tc>
          <w:tcPr>
            <w:tcW w:type="dxa" w:w="4754"/>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Al límite</w:t>
            </w:r>
          </w:p>
        </w:tc>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w:t>
            </w:r>
          </w:p>
        </w:tc>
      </w:tr>
      <w:tr>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85–100%</w:t>
            </w:r>
          </w:p>
        </w:tc>
        <w:tc>
          <w:tcPr>
            <w:tcW w:type="dxa" w:w="4754"/>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Zona de peligro</w:t>
            </w:r>
          </w:p>
        </w:tc>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DC2626"/>
                <w:sz w:val="18"/>
                <w:szCs w:val="18"/>
              </w:rPr>
              <w:t xml:space="preserve">-4</w:t>
            </w:r>
          </w:p>
        </w:tc>
      </w:tr>
      <w:tr>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&gt; 100%</w:t>
            </w:r>
          </w:p>
        </w:tc>
        <w:tc>
          <w:tcPr>
            <w:tcW w:type="dxa" w:w="4754"/>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Insostenible</w:t>
            </w:r>
          </w:p>
        </w:tc>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DC2626"/>
                <w:sz w:val="18"/>
                <w:szCs w:val="18"/>
              </w:rPr>
              <w:t xml:space="preserve">-8</w:t>
            </w:r>
          </w:p>
        </w:tc>
      </w:tr>
    </w:tbl>
    <w:p>
      <w:pPr>
        <w:pStyle w:val="Heading2"/>
      </w:pPr>
      <w:r>
        <w:t xml:space="preserve">4.7 Factor 7: Fundamentales (-7 a +5 pts)</w:t>
      </w:r>
    </w:p>
    <w:p>
      <w:pPr>
        <w:pStyle w:val="Heading3"/>
      </w:pPr>
      <w:r>
        <w:t xml:space="preserve">A) Deuda/EBITDA</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debtToEbitda = deudaTotal / ebitda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D/EBITDA</w:t>
            </w:r>
          </w:p>
        </w:tc>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Valoración</w:t>
            </w:r>
          </w:p>
        </w:tc>
        <w:tc>
          <w:tcPr>
            <w:tcW w:type="dxa" w:w="317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Puntos</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&lt; 1.0x</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Deuda baja, excelente</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16A34A"/>
                <w:sz w:val="18"/>
                <w:szCs w:val="18"/>
              </w:rPr>
              <w:t xml:space="preserve">+3</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1.0–2.0x</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Manejable</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+2</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2.0–3.0x</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Normal</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3.0–5.0x</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Alta</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DC2626"/>
                <w:sz w:val="18"/>
                <w:szCs w:val="18"/>
              </w:rPr>
              <w:t xml:space="preserve">-2</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&gt; 5.0x</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Muy alta</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DC2626"/>
                <w:sz w:val="18"/>
                <w:szCs w:val="18"/>
              </w:rPr>
              <w:t xml:space="preserve">-4</w:t>
            </w:r>
          </w:p>
        </w:tc>
      </w:tr>
    </w:tbl>
    <w:p>
      <w:pPr>
        <w:pStyle w:val="Heading3"/>
      </w:pPr>
      <w:r>
        <w:t xml:space="preserve">B) Dilución de Acciones</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dilucion = ((accionesRecientes - accionesHace4Años) / accionesHace4Años) × 100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Dilución %</w:t>
            </w:r>
          </w:p>
        </w:tc>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Valoración</w:t>
            </w:r>
          </w:p>
        </w:tc>
        <w:tc>
          <w:tcPr>
            <w:tcW w:type="dxa" w:w="317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Puntos</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&lt; -5%</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Recompra significativa</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16A34A"/>
                <w:sz w:val="18"/>
                <w:szCs w:val="18"/>
              </w:rPr>
              <w:t xml:space="preserve">+2</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-5% a -1%</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Recompra ligera</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 a +3%</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Estable</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+3% a +10%</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Dilución ligera</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DC2626"/>
                <w:sz w:val="18"/>
                <w:szCs w:val="18"/>
              </w:rPr>
              <w:t xml:space="preserve">-1</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&gt; +10%</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Dilución significativa</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DC2626"/>
                <w:sz w:val="18"/>
                <w:szCs w:val="18"/>
              </w:rPr>
              <w:t xml:space="preserve">-3</w:t>
            </w:r>
          </w:p>
        </w:tc>
      </w:tr>
    </w:tbl>
    <w:p>
      <w:pPr>
        <w:pStyle w:val="Heading2"/>
      </w:pPr>
      <w:r>
        <w:t xml:space="preserve">4.8 Puntuación Final y Señal</w:t>
      </w:r>
    </w:p>
    <w:p>
      <w:pPr>
        <w:spacing w:after="60" w:before="160"/>
      </w:pPr>
      <w:r>
        <w:rPr>
          <w:rFonts w:ascii="Inter" w:cs="Inter" w:eastAsia="Inter" w:hAnsi="Inter"/>
          <w:b/>
          <w:bCs/>
          <w:color w:val="405BFF"/>
          <w:sz w:val="20"/>
          <w:szCs w:val="20"/>
        </w:rPr>
        <w:t xml:space="preserve">Puntuación Total</w:t>
      </w:r>
    </w:p>
    <w:p>
      <w:pPr>
        <w:shd w:fill="F0F4FF" w:val="clear"/>
        <w:spacing w:after="40"/>
        <w:ind w:left="360"/>
      </w:pPr>
      <w:r>
        <w:rPr>
          <w:rFonts w:ascii="Consolas" w:cs="Consolas" w:eastAsia="Consolas" w:hAnsi="Consolas"/>
          <w:color w:val="334155"/>
          <w:sz w:val="19"/>
          <w:szCs w:val="19"/>
        </w:rPr>
        <w:t xml:space="preserve">score = clamp(0, 100, yieldScore + cagrScore + consistencyScore + marginScore + streakScore + payoutScore + fundamentalsScore)</w:t>
      </w:r>
    </w:p>
    <w:p>
      <w:pPr>
        <w:spacing w:after="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4000"/>
        <w:gridCol w:w="3130"/>
      </w:tblGrid>
      <w:tr>
        <w:tc>
          <w:tcPr>
            <w:tcW w:type="dxa" w:w="2376"/>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Puntuación</w:t>
            </w:r>
          </w:p>
        </w:tc>
        <w:tc>
          <w:tcPr>
            <w:tcW w:type="dxa" w:w="40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Señal</w:t>
            </w:r>
          </w:p>
        </w:tc>
        <w:tc>
          <w:tcPr>
            <w:tcW w:type="dxa" w:w="313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Heat</w:t>
            </w:r>
          </w:p>
        </w:tc>
      </w:tr>
      <w:tr>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 75</w:t>
            </w:r>
          </w:p>
        </w:tc>
        <w:tc>
          <w:tcPr>
            <w:tcW w:type="dxa" w:w="4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16A34A"/>
                <w:sz w:val="18"/>
                <w:szCs w:val="18"/>
              </w:rPr>
              <w:t xml:space="preserve">Compra Fuerte</w:t>
            </w:r>
          </w:p>
        </w:tc>
        <w:tc>
          <w:tcPr>
            <w:tcW w:type="dxa" w:w="313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5 / 5</w:t>
            </w:r>
          </w:p>
        </w:tc>
      </w:tr>
      <w:tr>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60–74</w:t>
            </w:r>
          </w:p>
        </w:tc>
        <w:tc>
          <w:tcPr>
            <w:tcW w:type="dxa" w:w="4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22C55E"/>
                <w:sz w:val="18"/>
                <w:szCs w:val="18"/>
              </w:rPr>
              <w:t xml:space="preserve">Compra</w:t>
            </w:r>
          </w:p>
        </w:tc>
        <w:tc>
          <w:tcPr>
            <w:tcW w:type="dxa" w:w="313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4 / 5</w:t>
            </w:r>
          </w:p>
        </w:tc>
      </w:tr>
      <w:tr>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45–59</w:t>
            </w:r>
          </w:p>
        </w:tc>
        <w:tc>
          <w:tcPr>
            <w:tcW w:type="dxa" w:w="4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EAB308"/>
                <w:sz w:val="18"/>
                <w:szCs w:val="18"/>
              </w:rPr>
              <w:t xml:space="preserve">Vigilar</w:t>
            </w:r>
          </w:p>
        </w:tc>
        <w:tc>
          <w:tcPr>
            <w:tcW w:type="dxa" w:w="313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3 / 5</w:t>
            </w:r>
          </w:p>
        </w:tc>
      </w:tr>
      <w:tr>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30–44</w:t>
            </w:r>
          </w:p>
        </w:tc>
        <w:tc>
          <w:tcPr>
            <w:tcW w:type="dxa" w:w="4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F97316"/>
                <w:sz w:val="18"/>
                <w:szCs w:val="18"/>
              </w:rPr>
              <w:t xml:space="preserve">Mantener</w:t>
            </w:r>
          </w:p>
        </w:tc>
        <w:tc>
          <w:tcPr>
            <w:tcW w:type="dxa" w:w="313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2 / 5</w:t>
            </w:r>
          </w:p>
        </w:tc>
      </w:tr>
      <w:tr>
        <w:tc>
          <w:tcPr>
            <w:tcW w:type="dxa" w:w="237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15–29</w:t>
            </w:r>
          </w:p>
        </w:tc>
        <w:tc>
          <w:tcPr>
            <w:tcW w:type="dxa" w:w="4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EF4444"/>
                <w:sz w:val="18"/>
                <w:szCs w:val="18"/>
              </w:rPr>
              <w:t xml:space="preserve">Caro</w:t>
            </w:r>
          </w:p>
        </w:tc>
        <w:tc>
          <w:tcPr>
            <w:tcW w:type="dxa" w:w="313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 / 5</w:t>
            </w:r>
          </w:p>
        </w:tc>
      </w:tr>
      <w:tr>
        <w:tc>
          <w:tcPr>
            <w:tcW w:type="dxa" w:w="237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&lt; 15</w:t>
            </w:r>
          </w:p>
        </w:tc>
        <w:tc>
          <w:tcPr>
            <w:tcW w:type="dxa" w:w="4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DC2626"/>
                <w:sz w:val="18"/>
                <w:szCs w:val="18"/>
              </w:rPr>
              <w:t xml:space="preserve">Vender</w:t>
            </w:r>
          </w:p>
        </w:tc>
        <w:tc>
          <w:tcPr>
            <w:tcW w:type="dxa" w:w="313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 / 5</w:t>
            </w:r>
          </w:p>
        </w:tc>
      </w:tr>
    </w:tbl>
    <w:p>
      <w:pPr>
        <w:pStyle w:val="Heading2"/>
      </w:pPr>
      <w:r>
        <w:t xml:space="preserve">4.9 Resumen de Pesos por Factor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168"/>
        <w:gridCol w:w="2168"/>
        <w:gridCol w:w="2170"/>
      </w:tblGrid>
      <w:tr>
        <w:tc>
          <w:tcPr>
            <w:tcW w:type="dxa" w:w="30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Factor</w:t>
            </w:r>
          </w:p>
        </w:tc>
        <w:tc>
          <w:tcPr>
            <w:tcW w:type="dxa" w:w="2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Rango</w:t>
            </w:r>
          </w:p>
        </w:tc>
        <w:tc>
          <w:tcPr>
            <w:tcW w:type="dxa" w:w="2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 Máx.</w:t>
            </w:r>
          </w:p>
        </w:tc>
        <w:tc>
          <w:tcPr>
            <w:tcW w:type="dxa" w:w="217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Input Clave</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Posición de Yield</w:t>
            </w:r>
          </w:p>
        </w:tc>
        <w:tc>
          <w:tcPr>
            <w:tcW w:type="dxa" w:w="2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0–45</w:t>
            </w:r>
          </w:p>
        </w:tc>
        <w:tc>
          <w:tcPr>
            <w:tcW w:type="dxa" w:w="2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45%</w:t>
            </w:r>
          </w:p>
        </w:tc>
        <w:tc>
          <w:tcPr>
            <w:tcW w:type="dxa" w:w="2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Bandas P3/P97</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Crecimiento CAGR</w:t>
            </w:r>
          </w:p>
        </w:tc>
        <w:tc>
          <w:tcPr>
            <w:tcW w:type="dxa" w:w="2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-4 a +12</w:t>
            </w:r>
          </w:p>
        </w:tc>
        <w:tc>
          <w:tcPr>
            <w:tcW w:type="dxa" w:w="2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12%</w:t>
            </w:r>
          </w:p>
        </w:tc>
        <w:tc>
          <w:tcPr>
            <w:tcW w:type="dxa" w:w="2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Historial div.</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Consistencia</w:t>
            </w:r>
          </w:p>
        </w:tc>
        <w:tc>
          <w:tcPr>
            <w:tcW w:type="dxa" w:w="2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0–8</w:t>
            </w:r>
          </w:p>
        </w:tc>
        <w:tc>
          <w:tcPr>
            <w:tcW w:type="dxa" w:w="2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8%</w:t>
            </w:r>
          </w:p>
        </w:tc>
        <w:tc>
          <w:tcPr>
            <w:tcW w:type="dxa" w:w="2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Años pagando</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Margen de Seguridad</w:t>
            </w:r>
          </w:p>
        </w:tc>
        <w:tc>
          <w:tcPr>
            <w:tcW w:type="dxa" w:w="2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0–5</w:t>
            </w:r>
          </w:p>
        </w:tc>
        <w:tc>
          <w:tcPr>
            <w:tcW w:type="dxa" w:w="2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5%</w:t>
            </w:r>
          </w:p>
        </w:tc>
        <w:tc>
          <w:tcPr>
            <w:tcW w:type="dxa" w:w="2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Upside %</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Racha de Dividendos</w:t>
            </w:r>
          </w:p>
        </w:tc>
        <w:tc>
          <w:tcPr>
            <w:tcW w:type="dxa" w:w="2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0–12</w:t>
            </w:r>
          </w:p>
        </w:tc>
        <w:tc>
          <w:tcPr>
            <w:tcW w:type="dxa" w:w="2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12%</w:t>
            </w:r>
          </w:p>
        </w:tc>
        <w:tc>
          <w:tcPr>
            <w:tcW w:type="dxa" w:w="2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Años consecutivos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Ratio de Payout</w:t>
            </w:r>
          </w:p>
        </w:tc>
        <w:tc>
          <w:tcPr>
            <w:tcW w:type="dxa" w:w="2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-8 a +5</w:t>
            </w:r>
          </w:p>
        </w:tc>
        <w:tc>
          <w:tcPr>
            <w:tcW w:type="dxa" w:w="2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≈13%</w:t>
            </w:r>
          </w:p>
        </w:tc>
        <w:tc>
          <w:tcPr>
            <w:tcW w:type="dxa" w:w="2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FCF / Benef. Neto</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Fundamentales</w:t>
            </w:r>
          </w:p>
        </w:tc>
        <w:tc>
          <w:tcPr>
            <w:tcW w:type="dxa" w:w="2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-7 a +5</w:t>
            </w:r>
          </w:p>
        </w:tc>
        <w:tc>
          <w:tcPr>
            <w:tcW w:type="dxa" w:w="2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≈12%</w:t>
            </w:r>
          </w:p>
        </w:tc>
        <w:tc>
          <w:tcPr>
            <w:tcW w:type="dxa" w:w="2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D/E + Dilución</w:t>
            </w:r>
          </w:p>
        </w:tc>
      </w:tr>
    </w:tbl>
    <w:p>
      <w:pPr>
        <w:pBdr>
          <w:bottom w:val="single" w:color="E2E8F0" w:sz="1" w:space="8"/>
        </w:pBdr>
        <w:spacing w:after="200" w:before="200"/>
      </w:pPr>
    </w:p>
    <w:p>
      <w:pPr>
        <w:pStyle w:val="Heading1"/>
      </w:pPr>
      <w:r>
        <w:t xml:space="preserve">5. Motor del Simulador de Income</w:t>
      </w:r>
    </w:p>
    <w:p>
      <w:pPr>
        <w:spacing w:after="120"/>
      </w:pPr>
      <w:r>
        <w:rPr>
          <w:rFonts w:ascii="Inter" w:cs="Inter" w:eastAsia="Inter" w:hAnsi="Inter"/>
          <w:color w:val="52525B"/>
          <w:sz w:val="21"/>
          <w:szCs w:val="21"/>
        </w:rPr>
        <w:t xml:space="preserve">El Simulador recomienda cómo asignar nuevo capital entre los activos candidatos. Utiliza una puntuación compuesta de 4 factores (diferente del score de 7 factores del Ranking) optimizada para generación de income, luego asigna capital dinámicamente y proyecta ingresos vía compounding DRIP.</w:t>
      </w:r>
    </w:p>
    <w:p>
      <w:pPr>
        <w:pStyle w:val="Heading2"/>
      </w:pPr>
      <w:r>
        <w:t xml:space="preserve">5.1 Puntuación Compuesta (4 Factores × 25%)</w:t>
      </w:r>
    </w:p>
    <w:p>
      <w:pPr>
        <w:spacing w:after="120"/>
      </w:pPr>
      <w:r>
        <w:rPr>
          <w:rFonts w:ascii="Inter" w:cs="Inter" w:eastAsia="Inter" w:hAnsi="Inter"/>
          <w:color w:val="52525B"/>
          <w:sz w:val="21"/>
          <w:szCs w:val="21"/>
        </w:rPr>
        <w:t xml:space="preserve">Cada factor se normaliza a 0–10 puntos, luego se pondera equitativamente al 25%:</w:t>
      </w:r>
    </w:p>
    <w:p>
      <w:pPr>
        <w:spacing w:after="60" w:before="160"/>
      </w:pPr>
      <w:r>
        <w:rPr>
          <w:rFonts w:ascii="Inter" w:cs="Inter" w:eastAsia="Inter" w:hAnsi="Inter"/>
          <w:b/>
          <w:bCs/>
          <w:color w:val="405BFF"/>
          <w:sz w:val="20"/>
          <w:szCs w:val="20"/>
        </w:rPr>
        <w:t xml:space="preserve">Compuesto</w:t>
      </w:r>
    </w:p>
    <w:p>
      <w:pPr>
        <w:shd w:fill="F0F4FF" w:val="clear"/>
        <w:spacing w:after="40"/>
        <w:ind w:left="360"/>
      </w:pPr>
      <w:r>
        <w:rPr>
          <w:rFonts w:ascii="Consolas" w:cs="Consolas" w:eastAsia="Consolas" w:hAnsi="Consolas"/>
          <w:color w:val="334155"/>
          <w:sz w:val="19"/>
          <w:szCs w:val="19"/>
        </w:rPr>
        <w:t xml:space="preserve">compositeScore = (adjustedYield × 0.25) + (growth × 0.25) + (safety × 0.25) + (valuation × 0.25)</w:t>
      </w:r>
    </w:p>
    <w:p>
      <w:pPr>
        <w:pStyle w:val="Heading3"/>
      </w:pPr>
      <w:r>
        <w:t xml:space="preserve">Factor A: Yield Ajustado (0–10)</w:t>
      </w:r>
    </w:p>
    <w:p>
      <w:pPr>
        <w:spacing w:after="120"/>
      </w:pPr>
      <w:r>
        <w:rPr>
          <w:rFonts w:ascii="Inter" w:cs="Inter" w:eastAsia="Inter" w:hAnsi="Inter"/>
          <w:color w:val="52525B"/>
          <w:sz w:val="21"/>
          <w:szCs w:val="21"/>
        </w:rPr>
        <w:t xml:space="preserve">El yield base se puntua con una curva de punto óptimo (2–6% ideal, &gt;8% penalizado como trampa de yield), luego se multiplica por un Multiplicador de Posición Weiss: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Yield Ratio</w:t>
            </w:r>
          </w:p>
        </w:tc>
        <w:tc>
          <w:tcPr>
            <w:tcW w:type="dxa" w:w="316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Rango Multiplicador</w:t>
            </w:r>
          </w:p>
        </w:tc>
        <w:tc>
          <w:tcPr>
            <w:tcW w:type="dxa" w:w="317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Efecto</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 1.0 (zona compra)</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1.2–1.5</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Amplifica: barato = alto YoC</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0.7–1.0</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1.0–1.2</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Ligero impulso</w:t>
            </w:r>
          </w:p>
        </w:tc>
      </w:tr>
      <w:tr>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0.4–0.7</w:t>
            </w:r>
          </w:p>
        </w:tc>
        <w:tc>
          <w:tcPr>
            <w:tcW w:type="dxa" w:w="3168"/>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0.85–1.0</w:t>
            </w:r>
          </w:p>
        </w:tc>
        <w:tc>
          <w:tcPr>
            <w:tcW w:type="dxa" w:w="317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Neutro a leve reducción</w:t>
            </w:r>
          </w:p>
        </w:tc>
      </w:tr>
      <w:tr>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&lt; 0.4 (caro)</w:t>
            </w:r>
          </w:p>
        </w:tc>
        <w:tc>
          <w:tcPr>
            <w:tcW w:type="dxa" w:w="3168"/>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0.6–0.85</w:t>
            </w:r>
          </w:p>
        </w:tc>
        <w:tc>
          <w:tcPr>
            <w:tcW w:type="dxa" w:w="317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Reduce: entrada cara</w:t>
            </w:r>
          </w:p>
        </w:tc>
      </w:tr>
    </w:tbl>
    <w:p>
      <w:pPr>
        <w:spacing w:after="60" w:before="160"/>
      </w:pPr>
      <w:r>
        <w:rPr>
          <w:rFonts w:ascii="Inter" w:cs="Inter" w:eastAsia="Inter" w:hAnsi="Inter"/>
          <w:b/>
          <w:bCs/>
          <w:color w:val="405BFF"/>
          <w:sz w:val="20"/>
          <w:szCs w:val="20"/>
        </w:rPr>
        <w:t xml:space="preserve">Resultado</w:t>
      </w:r>
    </w:p>
    <w:p>
      <w:pPr>
        <w:shd w:fill="F0F4FF" w:val="clear"/>
        <w:spacing w:after="40"/>
        <w:ind w:left="360"/>
      </w:pPr>
      <w:r>
        <w:rPr>
          <w:rFonts w:ascii="Consolas" w:cs="Consolas" w:eastAsia="Consolas" w:hAnsi="Consolas"/>
          <w:color w:val="334155"/>
          <w:sz w:val="19"/>
          <w:szCs w:val="19"/>
        </w:rPr>
        <w:t xml:space="preserve">adjustedYieldScore = min(10, baseYield × weissMultiplier)</w:t>
      </w:r>
    </w:p>
    <w:p>
      <w:pPr>
        <w:pStyle w:val="Heading3"/>
      </w:pPr>
      <w:r>
        <w:t xml:space="preserve">Factor B: Crecimiento (0–10)</w:t>
      </w:r>
    </w:p>
    <w:p>
      <w:pPr>
        <w:spacing w:after="60" w:before="160"/>
      </w:pPr>
      <w:r>
        <w:rPr>
          <w:rFonts w:ascii="Inter" w:cs="Inter" w:eastAsia="Inter" w:hAnsi="Inter"/>
          <w:b/>
          <w:bCs/>
          <w:color w:val="405BFF"/>
          <w:sz w:val="20"/>
          <w:szCs w:val="20"/>
        </w:rPr>
        <w:t xml:space="preserve">Fórmula</w:t>
      </w:r>
    </w:p>
    <w:p>
      <w:pPr>
        <w:shd w:fill="F0F4FF" w:val="clear"/>
        <w:spacing w:after="40"/>
        <w:ind w:left="360"/>
      </w:pPr>
      <w:r>
        <w:rPr>
          <w:rFonts w:ascii="Consolas" w:cs="Consolas" w:eastAsia="Consolas" w:hAnsi="Consolas"/>
          <w:color w:val="334155"/>
          <w:sz w:val="19"/>
          <w:szCs w:val="19"/>
        </w:rPr>
        <w:t xml:space="preserve">growthScore = min(10, max(0, cagr / 1.5))</w:t>
      </w:r>
    </w:p>
    <w:p>
      <w:pPr>
        <w:spacing w:after="120"/>
        <w:ind w:left="360"/>
      </w:pPr>
      <w:r>
        <w:rPr>
          <w:rFonts w:ascii="Inter" w:cs="Inter" w:eastAsia="Inter" w:hAnsi="Inter"/>
          <w:i/>
          <w:iCs/>
          <w:color w:val="A1A1AA"/>
          <w:sz w:val="18"/>
          <w:szCs w:val="18"/>
        </w:rPr>
        <w:t xml:space="preserve">7.5% CAGR = 5 pts, 15%+ = 10 pts</w:t>
      </w:r>
    </w:p>
    <w:p>
      <w:pPr>
        <w:pStyle w:val="Heading3"/>
      </w:pPr>
      <w:r>
        <w:t xml:space="preserve">Factor C: Seguridad (0–10)</w:t>
      </w:r>
    </w:p>
    <w:p>
      <w:pPr>
        <w:spacing w:after="120"/>
      </w:pPr>
      <w:r>
        <w:rPr>
          <w:rFonts w:ascii="Inter" w:cs="Inter" w:eastAsia="Inter" w:hAnsi="Inter"/>
          <w:color w:val="52525B"/>
          <w:sz w:val="21"/>
          <w:szCs w:val="21"/>
        </w:rPr>
        <w:t xml:space="preserve">Normalizado directamente del score de seguridad del activo (cobertura de payout, estabilidad de cash flow).</w:t>
      </w:r>
    </w:p>
    <w:p>
      <w:pPr>
        <w:pStyle w:val="Heading3"/>
      </w:pPr>
      <w:r>
        <w:t xml:space="preserve">Factor D: Potencial de Valoración (0–10)</w:t>
      </w:r>
    </w:p>
    <w:p>
      <w:pPr>
        <w:spacing w:after="60" w:before="160"/>
      </w:pPr>
      <w:r>
        <w:rPr>
          <w:rFonts w:ascii="Inter" w:cs="Inter" w:eastAsia="Inter" w:hAnsi="Inter"/>
          <w:b/>
          <w:bCs/>
          <w:color w:val="405BFF"/>
          <w:sz w:val="20"/>
          <w:szCs w:val="20"/>
        </w:rPr>
        <w:t xml:space="preserve">Upside positivo</w:t>
      </w:r>
    </w:p>
    <w:p>
      <w:pPr>
        <w:shd w:fill="F0F4FF" w:val="clear"/>
        <w:spacing w:after="40"/>
        <w:ind w:left="360"/>
      </w:pPr>
      <w:r>
        <w:rPr>
          <w:rFonts w:ascii="Consolas" w:cs="Consolas" w:eastAsia="Consolas" w:hAnsi="Consolas"/>
          <w:color w:val="334155"/>
          <w:sz w:val="19"/>
          <w:szCs w:val="19"/>
        </w:rPr>
        <w:t xml:space="preserve">valuationScore = 5 + (upsidePct / 50) × 5</w:t>
      </w:r>
    </w:p>
    <w:p>
      <w:pPr>
        <w:spacing w:after="120"/>
        <w:ind w:left="360"/>
      </w:pPr>
      <w:r>
        <w:rPr>
          <w:rFonts w:ascii="Inter" w:cs="Inter" w:eastAsia="Inter" w:hAnsi="Inter"/>
          <w:i/>
          <w:iCs/>
          <w:color w:val="A1A1AA"/>
          <w:sz w:val="18"/>
          <w:szCs w:val="18"/>
        </w:rPr>
        <w:t xml:space="preserve">0% upside = 5 pts, 50%+ = 10 pts</w:t>
      </w:r>
    </w:p>
    <w:p>
      <w:pPr>
        <w:spacing w:after="60" w:before="160"/>
      </w:pPr>
      <w:r>
        <w:rPr>
          <w:rFonts w:ascii="Inter" w:cs="Inter" w:eastAsia="Inter" w:hAnsi="Inter"/>
          <w:b/>
          <w:bCs/>
          <w:color w:val="405BFF"/>
          <w:sz w:val="20"/>
          <w:szCs w:val="20"/>
        </w:rPr>
        <w:t xml:space="preserve">Negativo (sobrevalorado)</w:t>
      </w:r>
    </w:p>
    <w:p>
      <w:pPr>
        <w:shd w:fill="F0F4FF" w:val="clear"/>
        <w:spacing w:after="40"/>
        <w:ind w:left="360"/>
      </w:pPr>
      <w:r>
        <w:rPr>
          <w:rFonts w:ascii="Consolas" w:cs="Consolas" w:eastAsia="Consolas" w:hAnsi="Consolas"/>
          <w:color w:val="334155"/>
          <w:sz w:val="19"/>
          <w:szCs w:val="19"/>
        </w:rPr>
        <w:t xml:space="preserve">valuationScore = max(0, 5 + (upsidePct / 50) × 5)</w:t>
      </w:r>
    </w:p>
    <w:p>
      <w:pPr>
        <w:spacing w:after="120"/>
        <w:ind w:left="360"/>
      </w:pPr>
      <w:r>
        <w:rPr>
          <w:rFonts w:ascii="Inter" w:cs="Inter" w:eastAsia="Inter" w:hAnsi="Inter"/>
          <w:i/>
          <w:iCs/>
          <w:color w:val="A1A1AA"/>
          <w:sz w:val="18"/>
          <w:szCs w:val="18"/>
        </w:rPr>
        <w:t xml:space="preserve">-50% downside = 0 pts</w:t>
      </w:r>
    </w:p>
    <w:p>
      <w:pPr>
        <w:pStyle w:val="Heading2"/>
      </w:pPr>
      <w:r>
        <w:t xml:space="preserve">5.2 Asignación Dinámica</w:t>
      </w:r>
    </w:p>
    <w:p>
      <w:pPr>
        <w:spacing w:after="120"/>
      </w:pPr>
      <w:r>
        <w:rPr>
          <w:rFonts w:ascii="Inter" w:cs="Inter" w:eastAsia="Inter" w:hAnsi="Inter"/>
          <w:color w:val="52525B"/>
          <w:sz w:val="21"/>
          <w:szCs w:val="21"/>
        </w:rPr>
        <w:t xml:space="preserve">Los activos se seleccionan y ponderan usando un enfoque de umbral + delta al cuadrado:</w:t>
      </w:r>
    </w:p>
    <w:p>
      <w:pPr>
        <w:spacing w:after="60" w:before="160"/>
      </w:pPr>
      <w:r>
        <w:rPr>
          <w:rFonts w:ascii="Inter" w:cs="Inter" w:eastAsia="Inter" w:hAnsi="Inter"/>
          <w:b/>
          <w:bCs/>
          <w:color w:val="405BFF"/>
          <w:sz w:val="20"/>
          <w:szCs w:val="20"/>
        </w:rPr>
        <w:t xml:space="preserve">Paso 1: Selección</w:t>
      </w:r>
    </w:p>
    <w:p>
      <w:pPr>
        <w:shd w:fill="F0F4FF" w:val="clear"/>
        <w:spacing w:after="40"/>
        <w:ind w:left="360"/>
      </w:pPr>
      <w:r>
        <w:rPr>
          <w:rFonts w:ascii="Consolas" w:cs="Consolas" w:eastAsia="Consolas" w:hAnsi="Consolas"/>
          <w:color w:val="334155"/>
          <w:sz w:val="19"/>
          <w:szCs w:val="19"/>
        </w:rPr>
        <w:t xml:space="preserve">threshold = bestCompositeScore × 0.60
qualifying = activos con score ≥ threshold
topAssets = qualifying[0..max(2, min(N, 7))]</w:t>
      </w:r>
    </w:p>
    <w:p>
      <w:pPr>
        <w:spacing w:after="120"/>
        <w:ind w:left="360"/>
      </w:pPr>
      <w:r>
        <w:rPr>
          <w:rFonts w:ascii="Inter" w:cs="Inter" w:eastAsia="Inter" w:hAnsi="Inter"/>
          <w:i/>
          <w:iCs/>
          <w:color w:val="A1A1AA"/>
          <w:sz w:val="18"/>
          <w:szCs w:val="18"/>
        </w:rPr>
        <w:t xml:space="preserve">Mínimo 2 activos, máximo 7. Todos deben puntuar al menos el 60% del mejor.</w:t>
      </w:r>
    </w:p>
    <w:p>
      <w:pPr>
        <w:spacing w:after="60" w:before="160"/>
      </w:pPr>
      <w:r>
        <w:rPr>
          <w:rFonts w:ascii="Inter" w:cs="Inter" w:eastAsia="Inter" w:hAnsi="Inter"/>
          <w:b/>
          <w:bCs/>
          <w:color w:val="405BFF"/>
          <w:sz w:val="20"/>
          <w:szCs w:val="20"/>
        </w:rPr>
        <w:t xml:space="preserve">Paso 2: Ponderación</w:t>
      </w:r>
    </w:p>
    <w:p>
      <w:pPr>
        <w:shd w:fill="F0F4FF" w:val="clear"/>
        <w:spacing w:after="40"/>
        <w:ind w:left="360"/>
      </w:pPr>
      <w:r>
        <w:rPr>
          <w:rFonts w:ascii="Consolas" w:cs="Consolas" w:eastAsia="Consolas" w:hAnsi="Consolas"/>
          <w:color w:val="334155"/>
          <w:sz w:val="19"/>
          <w:szCs w:val="19"/>
        </w:rPr>
        <w:t xml:space="preserve">floor = worstQualifier.score × 0.8
deltaᵢ = max(0, scoreᵢ - floor)
weightᵢ = deltaᵢ² / Σ(deltaⱼ²)</w:t>
      </w:r>
    </w:p>
    <w:p>
      <w:pPr>
        <w:spacing w:after="120"/>
        <w:ind w:left="360"/>
      </w:pPr>
      <w:r>
        <w:rPr>
          <w:rFonts w:ascii="Inter" w:cs="Inter" w:eastAsia="Inter" w:hAnsi="Inter"/>
          <w:i/>
          <w:iCs/>
          <w:color w:val="A1A1AA"/>
          <w:sz w:val="18"/>
          <w:szCs w:val="18"/>
        </w:rPr>
        <w:t xml:space="preserve">Elevar al cuadrado los deltas amplifica las diferencias: una pequeña diferencia de score produce una gran diferencia de asignación.</w:t>
      </w:r>
    </w:p>
    <w:p>
      <w:pPr>
        <w:spacing w:after="120"/>
      </w:pPr>
      <w:r>
        <w:rPr>
          <w:rFonts w:ascii="Inter" w:cs="Inter" w:eastAsia="Inter" w:hAnsi="Inter"/>
          <w:b/>
          <w:bCs/>
          <w:color w:val="0F1117"/>
          <w:sz w:val="21"/>
          <w:szCs w:val="21"/>
        </w:rPr>
        <w:t xml:space="preserve">Ejemplo: </w:t>
      </w:r>
      <w:r>
        <w:rPr>
          <w:rFonts w:ascii="Inter" w:cs="Inter" w:eastAsia="Inter" w:hAnsi="Inter"/>
          <w:color w:val="52525B"/>
          <w:sz w:val="21"/>
          <w:szCs w:val="21"/>
        </w:rPr>
        <w:t xml:space="preserve">Scores 85 y 70, floor = 56. Deltas: 29 y 14. Pesos: 29²/(29²+14²) = 81,1% y 18,9%.</w:t>
      </w:r>
    </w:p>
    <w:p>
      <w:pPr>
        <w:pStyle w:val="Heading2"/>
      </w:pPr>
      <w:r>
        <w:t xml:space="preserve">5.3 Proyección DRIP</w:t>
      </w:r>
    </w:p>
    <w:p>
      <w:pPr>
        <w:spacing w:after="120"/>
      </w:pPr>
      <w:r>
        <w:rPr>
          <w:rFonts w:ascii="Inter" w:cs="Inter" w:eastAsia="Inter" w:hAnsi="Inter"/>
          <w:color w:val="52525B"/>
          <w:sz w:val="21"/>
          <w:szCs w:val="21"/>
        </w:rPr>
        <w:t xml:space="preserve">Cada activo asignado se proyecta hacia adelante usando compounding de Plan de Reinversión de Dividendos:</w:t>
      </w:r>
    </w:p>
    <w:p>
      <w:pPr>
        <w:spacing w:after="60" w:before="160"/>
      </w:pPr>
      <w:r>
        <w:rPr>
          <w:rFonts w:ascii="Inter" w:cs="Inter" w:eastAsia="Inter" w:hAnsi="Inter"/>
          <w:b/>
          <w:bCs/>
          <w:color w:val="405BFF"/>
          <w:sz w:val="20"/>
          <w:szCs w:val="20"/>
        </w:rPr>
        <w:t xml:space="preserve">Por Año</w:t>
      </w:r>
    </w:p>
    <w:p>
      <w:pPr>
        <w:shd w:fill="F0F4FF" w:val="clear"/>
        <w:spacing w:after="40"/>
        <w:ind w:left="360"/>
      </w:pPr>
      <w:r>
        <w:rPr>
          <w:rFonts w:ascii="Consolas" w:cs="Consolas" w:eastAsia="Consolas" w:hAnsi="Consolas"/>
          <w:color w:val="334155"/>
          <w:sz w:val="19"/>
          <w:szCs w:val="19"/>
        </w:rPr>
        <w:t xml:space="preserve">dpsₙ = dpsₙ₋₁ × (1 + CAGR)
incomeₙ = sharesₙ × dpsₙ
sharesₙ = sharesₙ₋₁ + (incomeₙ / price)</w:t>
      </w:r>
    </w:p>
    <w:p>
      <w:pPr>
        <w:spacing w:after="120"/>
        <w:ind w:left="360"/>
      </w:pPr>
      <w:r>
        <w:rPr>
          <w:rFonts w:ascii="Inter" w:cs="Inter" w:eastAsia="Inter" w:hAnsi="Inter"/>
          <w:i/>
          <w:iCs/>
          <w:color w:val="A1A1AA"/>
          <w:sz w:val="18"/>
          <w:szCs w:val="18"/>
        </w:rPr>
        <w:t xml:space="preserve">El precio se mantiene constante (conservador). El income crece vía crecimiento del dividendo y acumulación de acciones por reinversión.</w:t>
      </w:r>
    </w:p>
    <w:p>
      <w:pPr>
        <w:spacing w:after="60" w:before="160"/>
      </w:pPr>
      <w:r>
        <w:rPr>
          <w:rFonts w:ascii="Inter" w:cs="Inter" w:eastAsia="Inter" w:hAnsi="Inter"/>
          <w:b/>
          <w:bCs/>
          <w:color w:val="405BFF"/>
          <w:sz w:val="20"/>
          <w:szCs w:val="20"/>
        </w:rPr>
        <w:t xml:space="preserve">Yield sobre Coste</w:t>
      </w:r>
    </w:p>
    <w:p>
      <w:pPr>
        <w:shd w:fill="F0F4FF" w:val="clear"/>
        <w:spacing w:after="40"/>
        <w:ind w:left="360"/>
      </w:pPr>
      <w:r>
        <w:rPr>
          <w:rFonts w:ascii="Consolas" w:cs="Consolas" w:eastAsia="Consolas" w:hAnsi="Consolas"/>
          <w:color w:val="334155"/>
          <w:sz w:val="19"/>
          <w:szCs w:val="19"/>
        </w:rPr>
        <w:t xml:space="preserve">yieldOnCost = (annualIncomeₙ / initialInvestment) × 100</w:t>
      </w:r>
    </w:p>
    <w:p>
      <w:pPr>
        <w:spacing w:after="120"/>
        <w:ind w:left="360"/>
      </w:pPr>
      <w:r>
        <w:rPr>
          <w:rFonts w:ascii="Inter" w:cs="Inter" w:eastAsia="Inter" w:hAnsi="Inter"/>
          <w:i/>
          <w:iCs/>
          <w:color w:val="A1A1AA"/>
          <w:sz w:val="18"/>
          <w:szCs w:val="18"/>
        </w:rPr>
        <w:t xml:space="preserve">Refleja cuánto ganas en relación a lo que pagaste, no al precio actual.</w:t>
      </w:r>
    </w:p>
    <w:p>
      <w:pPr>
        <w:pStyle w:val="Heading2"/>
      </w:pPr>
      <w:r>
        <w:t xml:space="preserve">5.4 Integración de la Señal Weiss</w:t>
      </w:r>
    </w:p>
    <w:p>
      <w:pPr>
        <w:spacing w:after="120"/>
      </w:pPr>
      <w:r>
        <w:rPr>
          <w:rFonts w:ascii="Inter" w:cs="Inter" w:eastAsia="Inter" w:hAnsi="Inter"/>
          <w:color w:val="52525B"/>
          <w:sz w:val="21"/>
          <w:szCs w:val="21"/>
        </w:rPr>
        <w:t xml:space="preserve">El Simulador importa el </w:t>
      </w:r>
      <w:r>
        <w:rPr>
          <w:rFonts w:ascii="Inter" w:cs="Inter" w:eastAsia="Inter" w:hAnsi="Inter"/>
          <w:b/>
          <w:bCs/>
          <w:color w:val="405BFF"/>
          <w:sz w:val="21"/>
          <w:szCs w:val="21"/>
        </w:rPr>
        <w:t xml:space="preserve">computeBuyScore</w:t>
      </w:r>
      <w:r>
        <w:rPr>
          <w:rFonts w:ascii="Inter" w:cs="Inter" w:eastAsia="Inter" w:hAnsi="Inter"/>
          <w:color w:val="52525B"/>
          <w:sz w:val="21"/>
          <w:szCs w:val="21"/>
        </w:rPr>
        <w:t xml:space="preserve"> completo de 7 factores del motor de Ranking en el lado servidor. Esto asegura que la señal Weiss (Compra, Vigilar, etc.) mostrada en cada activo asignado coincide exactamente con la página de Ranking. La señal se calcula a partir de datos reales de análisis cacheados, no de proxies simplificados.</w:t>
      </w:r>
    </w:p>
    <w:p>
      <w:pPr>
        <w:pBdr>
          <w:bottom w:val="single" w:color="E2E8F0" w:sz="1" w:space="8"/>
        </w:pBdr>
        <w:spacing w:after="200" w:before="200"/>
      </w:pPr>
    </w:p>
    <w:p>
      <w:pPr>
        <w:pStyle w:val="Heading1"/>
      </w:pPr>
      <w:r>
        <w:t xml:space="preserve">6. Métricas del Portfolio</w:t>
      </w:r>
    </w:p>
    <w:p>
      <w:pPr>
        <w:spacing w:after="120"/>
      </w:pPr>
      <w:r>
        <w:rPr>
          <w:rFonts w:ascii="Inter" w:cs="Inter" w:eastAsia="Inter" w:hAnsi="Inter"/>
          <w:color w:val="52525B"/>
          <w:sz w:val="21"/>
          <w:szCs w:val="21"/>
        </w:rPr>
        <w:t xml:space="preserve">Métricas agregadas para la vista de Portfolio, calculadas a partir de datos de posición y análisis cacheados.</w:t>
      </w:r>
    </w:p>
    <w:p>
      <w:pPr>
        <w:pStyle w:val="Heading2"/>
      </w:pPr>
      <w:r>
        <w:t xml:space="preserve">6.1 Métricas por Activo</w:t>
      </w:r>
    </w:p>
    <w:p>
      <w:pPr>
        <w:spacing w:after="60" w:before="160"/>
      </w:pPr>
      <w:r>
        <w:rPr>
          <w:rFonts w:ascii="Inter" w:cs="Inter" w:eastAsia="Inter" w:hAnsi="Inter"/>
          <w:b/>
          <w:bCs/>
          <w:color w:val="405BFF"/>
          <w:sz w:val="20"/>
          <w:szCs w:val="20"/>
        </w:rPr>
        <w:t xml:space="preserve">Valor de Posición</w:t>
      </w:r>
    </w:p>
    <w:p>
      <w:pPr>
        <w:shd w:fill="F0F4FF" w:val="clear"/>
        <w:spacing w:after="40"/>
        <w:ind w:left="360"/>
      </w:pPr>
      <w:r>
        <w:rPr>
          <w:rFonts w:ascii="Consolas" w:cs="Consolas" w:eastAsia="Consolas" w:hAnsi="Consolas"/>
          <w:color w:val="334155"/>
          <w:sz w:val="19"/>
          <w:szCs w:val="19"/>
        </w:rPr>
        <w:t xml:space="preserve">positionValue = currentPrice × shares</w:t>
      </w:r>
    </w:p>
    <w:p>
      <w:pPr>
        <w:spacing w:after="60" w:before="160"/>
      </w:pPr>
      <w:r>
        <w:rPr>
          <w:rFonts w:ascii="Inter" w:cs="Inter" w:eastAsia="Inter" w:hAnsi="Inter"/>
          <w:b/>
          <w:bCs/>
          <w:color w:val="405BFF"/>
          <w:sz w:val="20"/>
          <w:szCs w:val="20"/>
        </w:rPr>
        <w:t xml:space="preserve">Income Anual</w:t>
      </w:r>
    </w:p>
    <w:p>
      <w:pPr>
        <w:shd w:fill="F0F4FF" w:val="clear"/>
        <w:spacing w:after="40"/>
        <w:ind w:left="360"/>
      </w:pPr>
      <w:r>
        <w:rPr>
          <w:rFonts w:ascii="Consolas" w:cs="Consolas" w:eastAsia="Consolas" w:hAnsi="Consolas"/>
          <w:color w:val="334155"/>
          <w:sz w:val="19"/>
          <w:szCs w:val="19"/>
        </w:rPr>
        <w:t xml:space="preserve">annualIncome = annualDivPerShare × shares</w:t>
      </w:r>
    </w:p>
    <w:p>
      <w:pPr>
        <w:spacing w:after="60" w:before="160"/>
      </w:pPr>
      <w:r>
        <w:rPr>
          <w:rFonts w:ascii="Inter" w:cs="Inter" w:eastAsia="Inter" w:hAnsi="Inter"/>
          <w:b/>
          <w:bCs/>
          <w:color w:val="405BFF"/>
          <w:sz w:val="20"/>
          <w:szCs w:val="20"/>
        </w:rPr>
        <w:t xml:space="preserve">Yield sobre Coste</w:t>
      </w:r>
    </w:p>
    <w:p>
      <w:pPr>
        <w:shd w:fill="F0F4FF" w:val="clear"/>
        <w:spacing w:after="40"/>
        <w:ind w:left="360"/>
      </w:pPr>
      <w:r>
        <w:rPr>
          <w:rFonts w:ascii="Consolas" w:cs="Consolas" w:eastAsia="Consolas" w:hAnsi="Consolas"/>
          <w:color w:val="334155"/>
          <w:sz w:val="19"/>
          <w:szCs w:val="19"/>
        </w:rPr>
        <w:t xml:space="preserve">yieldOnCost = (annualDivPerShare / entryPrice) × 100</w:t>
      </w:r>
    </w:p>
    <w:p>
      <w:pPr>
        <w:spacing w:after="60" w:before="160"/>
      </w:pPr>
      <w:r>
        <w:rPr>
          <w:rFonts w:ascii="Inter" w:cs="Inter" w:eastAsia="Inter" w:hAnsi="Inter"/>
          <w:b/>
          <w:bCs/>
          <w:color w:val="405BFF"/>
          <w:sz w:val="20"/>
          <w:szCs w:val="20"/>
        </w:rPr>
        <w:t xml:space="preserve">P&amp;L %</w:t>
      </w:r>
    </w:p>
    <w:p>
      <w:pPr>
        <w:shd w:fill="F0F4FF" w:val="clear"/>
        <w:spacing w:after="40"/>
        <w:ind w:left="360"/>
      </w:pPr>
      <w:r>
        <w:rPr>
          <w:rFonts w:ascii="Consolas" w:cs="Consolas" w:eastAsia="Consolas" w:hAnsi="Consolas"/>
          <w:color w:val="334155"/>
          <w:sz w:val="19"/>
          <w:szCs w:val="19"/>
        </w:rPr>
        <w:t xml:space="preserve">pnlPct = ((currentPrice - entryPrice) / entryPrice) × 100</w:t>
      </w:r>
    </w:p>
    <w:p>
      <w:pPr>
        <w:pStyle w:val="Heading2"/>
      </w:pPr>
      <w:r>
        <w:t xml:space="preserve">6.2 Agregados del Portfolio</w:t>
      </w:r>
    </w:p>
    <w:p>
      <w:pPr>
        <w:spacing w:after="60" w:before="160"/>
      </w:pPr>
      <w:r>
        <w:rPr>
          <w:rFonts w:ascii="Inter" w:cs="Inter" w:eastAsia="Inter" w:hAnsi="Inter"/>
          <w:b/>
          <w:bCs/>
          <w:color w:val="405BFF"/>
          <w:sz w:val="20"/>
          <w:szCs w:val="20"/>
        </w:rPr>
        <w:t xml:space="preserve">Valor Total</w:t>
      </w:r>
    </w:p>
    <w:p>
      <w:pPr>
        <w:shd w:fill="F0F4FF" w:val="clear"/>
        <w:spacing w:after="40"/>
        <w:ind w:left="360"/>
      </w:pPr>
      <w:r>
        <w:rPr>
          <w:rFonts w:ascii="Consolas" w:cs="Consolas" w:eastAsia="Consolas" w:hAnsi="Consolas"/>
          <w:color w:val="334155"/>
          <w:sz w:val="19"/>
          <w:szCs w:val="19"/>
        </w:rPr>
        <w:t xml:space="preserve">totalValue = Σ(positionValueᵢ)</w:t>
      </w:r>
    </w:p>
    <w:p>
      <w:pPr>
        <w:spacing w:after="120"/>
        <w:ind w:left="360"/>
      </w:pPr>
      <w:r>
        <w:rPr>
          <w:rFonts w:ascii="Inter" w:cs="Inter" w:eastAsia="Inter" w:hAnsi="Inter"/>
          <w:i/>
          <w:iCs/>
          <w:color w:val="A1A1AA"/>
          <w:sz w:val="18"/>
          <w:szCs w:val="18"/>
        </w:rPr>
        <w:t xml:space="preserve">Suma de todos los activos con posición</w:t>
      </w:r>
    </w:p>
    <w:p>
      <w:pPr>
        <w:spacing w:after="60" w:before="160"/>
      </w:pPr>
      <w:r>
        <w:rPr>
          <w:rFonts w:ascii="Inter" w:cs="Inter" w:eastAsia="Inter" w:hAnsi="Inter"/>
          <w:b/>
          <w:bCs/>
          <w:color w:val="405BFF"/>
          <w:sz w:val="20"/>
          <w:szCs w:val="20"/>
        </w:rPr>
        <w:t xml:space="preserve">Income Anual Total</w:t>
      </w:r>
    </w:p>
    <w:p>
      <w:pPr>
        <w:shd w:fill="F0F4FF" w:val="clear"/>
        <w:spacing w:after="40"/>
        <w:ind w:left="360"/>
      </w:pPr>
      <w:r>
        <w:rPr>
          <w:rFonts w:ascii="Consolas" w:cs="Consolas" w:eastAsia="Consolas" w:hAnsi="Consolas"/>
          <w:color w:val="334155"/>
          <w:sz w:val="19"/>
          <w:szCs w:val="19"/>
        </w:rPr>
        <w:t xml:space="preserve">totalAnnualIncome = Σ(annualIncomeᵢ)</w:t>
      </w:r>
    </w:p>
    <w:p>
      <w:pPr>
        <w:spacing w:after="60" w:before="160"/>
      </w:pPr>
      <w:r>
        <w:rPr>
          <w:rFonts w:ascii="Inter" w:cs="Inter" w:eastAsia="Inter" w:hAnsi="Inter"/>
          <w:b/>
          <w:bCs/>
          <w:color w:val="405BFF"/>
          <w:sz w:val="20"/>
          <w:szCs w:val="20"/>
        </w:rPr>
        <w:t xml:space="preserve">Yield Ponderado</w:t>
      </w:r>
    </w:p>
    <w:p>
      <w:pPr>
        <w:shd w:fill="F0F4FF" w:val="clear"/>
        <w:spacing w:after="40"/>
        <w:ind w:left="360"/>
      </w:pPr>
      <w:r>
        <w:rPr>
          <w:rFonts w:ascii="Consolas" w:cs="Consolas" w:eastAsia="Consolas" w:hAnsi="Consolas"/>
          <w:color w:val="334155"/>
          <w:sz w:val="19"/>
          <w:szCs w:val="19"/>
        </w:rPr>
        <w:t xml:space="preserve">weightedYield = Σ(yieldOnCostᵢ × (positionValueᵢ / totalValue))</w:t>
      </w:r>
    </w:p>
    <w:p>
      <w:pPr>
        <w:spacing w:after="120"/>
        <w:ind w:left="360"/>
      </w:pPr>
      <w:r>
        <w:rPr>
          <w:rFonts w:ascii="Inter" w:cs="Inter" w:eastAsia="Inter" w:hAnsi="Inter"/>
          <w:i/>
          <w:iCs/>
          <w:color w:val="A1A1AA"/>
          <w:sz w:val="18"/>
          <w:szCs w:val="18"/>
        </w:rPr>
        <w:t xml:space="preserve">Media ponderada por valor, no media aritmética simple.</w:t>
      </w:r>
    </w:p>
    <w:p>
      <w:pPr>
        <w:spacing w:after="60" w:before="160"/>
      </w:pPr>
      <w:r>
        <w:rPr>
          <w:rFonts w:ascii="Inter" w:cs="Inter" w:eastAsia="Inter" w:hAnsi="Inter"/>
          <w:b/>
          <w:bCs/>
          <w:color w:val="405BFF"/>
          <w:sz w:val="20"/>
          <w:szCs w:val="20"/>
        </w:rPr>
        <w:t xml:space="preserve">P&amp;L Total</w:t>
      </w:r>
    </w:p>
    <w:p>
      <w:pPr>
        <w:shd w:fill="F0F4FF" w:val="clear"/>
        <w:spacing w:after="40"/>
        <w:ind w:left="360"/>
      </w:pPr>
      <w:r>
        <w:rPr>
          <w:rFonts w:ascii="Consolas" w:cs="Consolas" w:eastAsia="Consolas" w:hAnsi="Consolas"/>
          <w:color w:val="334155"/>
          <w:sz w:val="19"/>
          <w:szCs w:val="19"/>
        </w:rPr>
        <w:t xml:space="preserve">totalPnlPct = ((totalValue - totalCost) / totalCost) × 100</w:t>
      </w:r>
    </w:p>
    <w:p>
      <w:pPr>
        <w:spacing w:after="120"/>
        <w:ind w:left="360"/>
      </w:pPr>
      <w:r>
        <w:rPr>
          <w:rFonts w:ascii="Inter" w:cs="Inter" w:eastAsia="Inter" w:hAnsi="Inter"/>
          <w:i/>
          <w:iCs/>
          <w:color w:val="A1A1AA"/>
          <w:sz w:val="18"/>
          <w:szCs w:val="18"/>
        </w:rPr>
        <w:t xml:space="preserve">Donde totalCost = Σ(entryPriceᵢ × sharesᵢ), todo convertido a la divisa de visualización.</w:t>
      </w:r>
    </w:p>
    <w:p>
      <w:pPr>
        <w:pStyle w:val="Heading2"/>
      </w:pPr>
      <w:r>
        <w:t xml:space="preserve">6.3 Impacto en Cartera (Simulador)</w:t>
      </w:r>
    </w:p>
    <w:p>
      <w:pPr>
        <w:spacing w:after="120"/>
      </w:pPr>
      <w:r>
        <w:rPr>
          <w:rFonts w:ascii="Inter" w:cs="Inter" w:eastAsia="Inter" w:hAnsi="Inter"/>
          <w:color w:val="52525B"/>
          <w:sz w:val="21"/>
          <w:szCs w:val="21"/>
        </w:rPr>
        <w:t xml:space="preserve">La tarjeta de impacto del Simulador compara el estado actual del portfolio (desde usePortfolio) con la asignación propuesta:</w:t>
      </w:r>
    </w:p>
    <w:p>
      <w:pPr>
        <w:spacing w:after="60" w:before="160"/>
      </w:pPr>
      <w:r>
        <w:rPr>
          <w:rFonts w:ascii="Inter" w:cs="Inter" w:eastAsia="Inter" w:hAnsi="Inter"/>
          <w:b/>
          <w:bCs/>
          <w:color w:val="405BFF"/>
          <w:sz w:val="20"/>
          <w:szCs w:val="20"/>
        </w:rPr>
        <w:t xml:space="preserve">Nuevo Valor</w:t>
      </w:r>
    </w:p>
    <w:p>
      <w:pPr>
        <w:shd w:fill="F0F4FF" w:val="clear"/>
        <w:spacing w:after="40"/>
        <w:ind w:left="360"/>
      </w:pPr>
      <w:r>
        <w:rPr>
          <w:rFonts w:ascii="Consolas" w:cs="Consolas" w:eastAsia="Consolas" w:hAnsi="Consolas"/>
          <w:color w:val="334155"/>
          <w:sz w:val="19"/>
          <w:szCs w:val="19"/>
        </w:rPr>
        <w:t xml:space="preserve">newValue = currentValue + importeInversión</w:t>
      </w:r>
    </w:p>
    <w:p>
      <w:pPr>
        <w:spacing w:after="60" w:before="160"/>
      </w:pPr>
      <w:r>
        <w:rPr>
          <w:rFonts w:ascii="Inter" w:cs="Inter" w:eastAsia="Inter" w:hAnsi="Inter"/>
          <w:b/>
          <w:bCs/>
          <w:color w:val="405BFF"/>
          <w:sz w:val="20"/>
          <w:szCs w:val="20"/>
        </w:rPr>
        <w:t xml:space="preserve">Nuevo Income</w:t>
      </w:r>
    </w:p>
    <w:p>
      <w:pPr>
        <w:shd w:fill="F0F4FF" w:val="clear"/>
        <w:spacing w:after="40"/>
        <w:ind w:left="360"/>
      </w:pPr>
      <w:r>
        <w:rPr>
          <w:rFonts w:ascii="Consolas" w:cs="Consolas" w:eastAsia="Consolas" w:hAnsi="Consolas"/>
          <w:color w:val="334155"/>
          <w:sz w:val="19"/>
          <w:szCs w:val="19"/>
        </w:rPr>
        <w:t xml:space="preserve">newIncome = currentIncome + incomeAsignaciónAño1</w:t>
      </w:r>
    </w:p>
    <w:p>
      <w:pPr>
        <w:spacing w:after="60" w:before="160"/>
      </w:pPr>
      <w:r>
        <w:rPr>
          <w:rFonts w:ascii="Inter" w:cs="Inter" w:eastAsia="Inter" w:hAnsi="Inter"/>
          <w:b/>
          <w:bCs/>
          <w:color w:val="405BFF"/>
          <w:sz w:val="20"/>
          <w:szCs w:val="20"/>
        </w:rPr>
        <w:t xml:space="preserve">Nuevo Yield</w:t>
      </w:r>
    </w:p>
    <w:p>
      <w:pPr>
        <w:shd w:fill="F0F4FF" w:val="clear"/>
        <w:spacing w:after="40"/>
        <w:ind w:left="360"/>
      </w:pPr>
      <w:r>
        <w:rPr>
          <w:rFonts w:ascii="Consolas" w:cs="Consolas" w:eastAsia="Consolas" w:hAnsi="Consolas"/>
          <w:color w:val="334155"/>
          <w:sz w:val="19"/>
          <w:szCs w:val="19"/>
        </w:rPr>
        <w:t xml:space="preserve">newYield = (newIncome / newValue) × 100</w:t>
      </w:r>
    </w:p>
    <w:p>
      <w:pPr>
        <w:spacing w:after="60" w:before="160"/>
      </w:pPr>
      <w:r>
        <w:rPr>
          <w:rFonts w:ascii="Inter" w:cs="Inter" w:eastAsia="Inter" w:hAnsi="Inter"/>
          <w:b/>
          <w:bCs/>
          <w:color w:val="405BFF"/>
          <w:sz w:val="20"/>
          <w:szCs w:val="20"/>
        </w:rPr>
        <w:t xml:space="preserve">Delta Yield</w:t>
      </w:r>
    </w:p>
    <w:p>
      <w:pPr>
        <w:shd w:fill="F0F4FF" w:val="clear"/>
        <w:spacing w:after="40"/>
        <w:ind w:left="360"/>
      </w:pPr>
      <w:r>
        <w:rPr>
          <w:rFonts w:ascii="Consolas" w:cs="Consolas" w:eastAsia="Consolas" w:hAnsi="Consolas"/>
          <w:color w:val="334155"/>
          <w:sz w:val="19"/>
          <w:szCs w:val="19"/>
        </w:rPr>
        <w:t xml:space="preserve">yieldDelta = newYield - currentYield</w:t>
      </w:r>
    </w:p>
    <w:p>
      <w:pPr>
        <w:spacing w:after="120"/>
        <w:ind w:left="360"/>
      </w:pPr>
      <w:r>
        <w:rPr>
          <w:rFonts w:ascii="Inter" w:cs="Inter" w:eastAsia="Inter" w:hAnsi="Inter"/>
          <w:i/>
          <w:iCs/>
          <w:color w:val="A1A1AA"/>
          <w:sz w:val="18"/>
          <w:szCs w:val="18"/>
        </w:rPr>
        <w:t xml:space="preserve">Expresado en puntos porcentuales (pp)</w:t>
      </w:r>
    </w:p>
    <w:p>
      <w:pPr>
        <w:pBdr>
          <w:bottom w:val="single" w:color="E2E8F0" w:sz="1" w:space="8"/>
        </w:pBdr>
        <w:spacing w:after="200" w:before="200"/>
      </w:pPr>
    </w:p>
    <w:p>
      <w:pPr>
        <w:pStyle w:val="Heading1"/>
      </w:pPr>
      <w:r>
        <w:t xml:space="preserve">7. Gestión de Divisas</w:t>
      </w:r>
    </w:p>
    <w:p>
      <w:pPr>
        <w:spacing w:after="120"/>
      </w:pPr>
      <w:r>
        <w:rPr>
          <w:rFonts w:ascii="Inter" w:cs="Inter" w:eastAsia="Inter" w:hAnsi="Inter"/>
          <w:color w:val="52525B"/>
          <w:sz w:val="21"/>
          <w:szCs w:val="21"/>
        </w:rPr>
        <w:t xml:space="preserve">Plazafolio soporta portfolios multi-divisa. La divisa nativa de cada activo se detecta automáticamente de su cotización de mercado. El tipo de cambio EUR/USD se obtiene vía el endpoint /api/forex. Todos los valores de visualización se convierten a la divisa del usuario usando tipos en tiempo real. La conversión se aplica a: precios, dividendos por acción, valores de posición y cálculos de income. Los precios de entrada se almacenan en divisa nativa y se convierten en el momento de la visualización.</w:t>
      </w:r>
    </w:p>
    <w:p>
      <w:pPr>
        <w:pBdr>
          <w:bottom w:val="single" w:color="E2E8F0" w:sz="1" w:space="8"/>
        </w:pBdr>
        <w:spacing w:after="200" w:before="200"/>
      </w:pPr>
    </w:p>
    <w:p>
      <w:pPr>
        <w:pStyle w:val="Heading1"/>
      </w:pPr>
      <w:r>
        <w:t xml:space="preserve">8. Integración con IA (Google Gemini)</w:t>
      </w:r>
    </w:p>
    <w:p>
      <w:pPr>
        <w:spacing w:after="120"/>
      </w:pPr>
      <w:r>
        <w:rPr>
          <w:rFonts w:ascii="Inter" w:cs="Inter" w:eastAsia="Inter" w:hAnsi="Inter"/>
          <w:color w:val="52525B"/>
          <w:sz w:val="21"/>
          <w:szCs w:val="21"/>
        </w:rPr>
        <w:t xml:space="preserve">Plazafolio integra opcionalmente Google Gemini para capacidades analíticas avanzadas:</w:t>
      </w:r>
    </w:p>
    <w:p>
      <w:pPr>
        <w:spacing w:after="120"/>
      </w:pPr>
      <w:r>
        <w:rPr>
          <w:rFonts w:ascii="Inter" w:cs="Inter" w:eastAsia="Inter" w:hAnsi="Inter"/>
          <w:b/>
          <w:bCs/>
          <w:color w:val="0F1117"/>
          <w:sz w:val="21"/>
          <w:szCs w:val="21"/>
        </w:rPr>
        <w:t xml:space="preserve">Narrativas de Informes SEC/ESEF: </w:t>
      </w:r>
      <w:r>
        <w:rPr>
          <w:rFonts w:ascii="Inter" w:cs="Inter" w:eastAsia="Inter" w:hAnsi="Inter"/>
          <w:color w:val="52525B"/>
          <w:sz w:val="21"/>
          <w:szCs w:val="21"/>
        </w:rPr>
        <w:t xml:space="preserve">Transforma informes financieros en bruto (10-K, 10-Q, Memorias Anuales) en resúmenes ejecutivos. Extrae métricas clave, riesgos y comentarios de la dirección.</w:t>
      </w:r>
    </w:p>
    <w:p>
      <w:pPr>
        <w:spacing w:after="120"/>
      </w:pPr>
      <w:r>
        <w:rPr>
          <w:rFonts w:ascii="Inter" w:cs="Inter" w:eastAsia="Inter" w:hAnsi="Inter"/>
          <w:b/>
          <w:bCs/>
          <w:color w:val="0F1117"/>
          <w:sz w:val="21"/>
          <w:szCs w:val="21"/>
        </w:rPr>
        <w:t xml:space="preserve">Resúmenes en Audio: </w:t>
      </w:r>
      <w:r>
        <w:rPr>
          <w:rFonts w:ascii="Inter" w:cs="Inter" w:eastAsia="Inter" w:hAnsi="Inter"/>
          <w:color w:val="52525B"/>
          <w:sz w:val="21"/>
          <w:szCs w:val="21"/>
        </w:rPr>
        <w:t xml:space="preserve">Convierte el texto narrativo en audio para consumo sin manos. El audio se cachea para evitar generación redundante.</w:t>
      </w:r>
    </w:p>
    <w:p>
      <w:pPr>
        <w:spacing w:after="120"/>
      </w:pPr>
      <w:r>
        <w:rPr>
          <w:rFonts w:ascii="Inter" w:cs="Inter" w:eastAsia="Inter" w:hAnsi="Inter"/>
          <w:b/>
          <w:bCs/>
          <w:color w:val="0F1117"/>
          <w:sz w:val="21"/>
          <w:szCs w:val="21"/>
        </w:rPr>
        <w:t xml:space="preserve">Briefs de Earnings Calls: </w:t>
      </w:r>
      <w:r>
        <w:rPr>
          <w:rFonts w:ascii="Inter" w:cs="Inter" w:eastAsia="Inter" w:hAnsi="Inter"/>
          <w:color w:val="52525B"/>
          <w:sz w:val="21"/>
          <w:szCs w:val="21"/>
        </w:rPr>
        <w:t xml:space="preserve">Extrae insights relevantes para dividendos de las transcripciones de presentaciones de resultados. Destaca las guías de la dirección sobre payouts, planes de crecimiento y asignación de capital.</w:t>
      </w:r>
    </w:p>
    <w:p>
      <w:pPr>
        <w:spacing w:after="120"/>
      </w:pPr>
      <w:r>
        <w:rPr>
          <w:rFonts w:ascii="Inter" w:cs="Inter" w:eastAsia="Inter" w:hAnsi="Inter"/>
          <w:b/>
          <w:bCs/>
          <w:color w:val="0F1117"/>
          <w:sz w:val="21"/>
          <w:szCs w:val="21"/>
        </w:rPr>
        <w:t xml:space="preserve">Razonamiento de Asignación del Simulador: </w:t>
      </w:r>
      <w:r>
        <w:rPr>
          <w:rFonts w:ascii="Inter" w:cs="Inter" w:eastAsia="Inter" w:hAnsi="Inter"/>
          <w:color w:val="52525B"/>
          <w:sz w:val="21"/>
          <w:szCs w:val="21"/>
        </w:rPr>
        <w:t xml:space="preserve">Proporciona una explicación en lenguaje natural de por qué se seleccionaron ciertos activos y cómo se distribuyó el capital, contextualizando el scoring mecánico.</w:t>
      </w:r>
    </w:p>
    <w:p>
      <w:pPr>
        <w:spacing w:after="120"/>
      </w:pPr>
      <w:r>
        <w:rPr>
          <w:rFonts w:ascii="Inter" w:cs="Inter" w:eastAsia="Inter" w:hAnsi="Inter"/>
          <w:b/>
          <w:bCs/>
          <w:color w:val="0F1117"/>
          <w:sz w:val="21"/>
          <w:szCs w:val="21"/>
        </w:rPr>
        <w:t xml:space="preserve">Contexto de Seguridad del Dividendo: </w:t>
      </w:r>
      <w:r>
        <w:rPr>
          <w:rFonts w:ascii="Inter" w:cs="Inter" w:eastAsia="Inter" w:hAnsi="Inter"/>
          <w:color w:val="52525B"/>
          <w:sz w:val="21"/>
          <w:szCs w:val="21"/>
        </w:rPr>
        <w:t xml:space="preserve">Añade fundamentación cualitativa al score de seguridad mecánico cuando está disponible.</w:t>
      </w:r>
    </w:p>
    <w:p>
      <w:pPr>
        <w:spacing w:after="120"/>
      </w:pPr>
      <w:r>
        <w:rPr>
          <w:rFonts w:ascii="Inter" w:cs="Inter" w:eastAsia="Inter" w:hAnsi="Inter"/>
          <w:color w:val="52525B"/>
          <w:sz w:val="21"/>
          <w:szCs w:val="21"/>
        </w:rPr>
        <w:t xml:space="preserve">Todas las funcionalidades de IA son opcionales. La plataforma funciona completamente sin clave Gemini, usando únicamente scoring y cálculos mecánicos.</w:t>
      </w:r>
    </w:p>
    <w:p>
      <w:pPr>
        <w:pBdr>
          <w:bottom w:val="single" w:color="E2E8F0" w:sz="1" w:space="8"/>
        </w:pBdr>
        <w:spacing w:after="200" w:before="200"/>
      </w:pPr>
    </w:p>
    <w:p>
      <w:pPr>
        <w:pStyle w:val="Heading1"/>
      </w:pPr>
      <w:r>
        <w:t xml:space="preserve">9. Glosario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Término</w:t>
            </w:r>
          </w:p>
        </w:tc>
        <w:tc>
          <w:tcPr>
            <w:tcW w:type="dxa" w:w="6506"/>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r>
              <w:rPr>
                <w:rFonts w:ascii="Inter" w:cs="Inter" w:eastAsia="Inter" w:hAnsi="Inter"/>
                <w:b/>
                <w:bCs/>
                <w:color w:val="FFFFFF"/>
                <w:sz w:val="18"/>
                <w:szCs w:val="18"/>
              </w:rPr>
              <w:t xml:space="preserve">Definición</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CAGR</w:t>
            </w:r>
          </w:p>
        </w:tc>
        <w:tc>
          <w:tcPr>
            <w:tcW w:type="dxa" w:w="650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Tasa de Crecimiento Anual Compuesto de los pagos de dividendos a lo largo del tiempo</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DRIP</w:t>
            </w:r>
          </w:p>
        </w:tc>
        <w:tc>
          <w:tcPr>
            <w:tcW w:type="dxa" w:w="650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Plan de Reinversión de Dividendos — reinvertir automáticamente los dividendos para comprar más acciones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FCF</w:t>
            </w:r>
          </w:p>
        </w:tc>
        <w:tc>
          <w:tcPr>
            <w:tcW w:type="dxa" w:w="650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Free Cash Flow — efectivo generado después de gastos de capital</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Ratio de Payout</w:t>
            </w:r>
          </w:p>
        </w:tc>
        <w:tc>
          <w:tcPr>
            <w:tcW w:type="dxa" w:w="650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Porcentaje de beneficios o FCF pagado como dividendos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Yield sobre Coste</w:t>
            </w:r>
          </w:p>
        </w:tc>
        <w:tc>
          <w:tcPr>
            <w:tcW w:type="dxa" w:w="650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Income anual por dividendos como porcentaje del precio de compra original</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Yield Ratio</w:t>
            </w:r>
          </w:p>
        </w:tc>
        <w:tc>
          <w:tcPr>
            <w:tcW w:type="dxa" w:w="650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Posición del yield actual dentro del canal histórico alto/bajo (0 = bajo, 1 = alto)</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P97 / P3</w:t>
            </w:r>
          </w:p>
        </w:tc>
        <w:tc>
          <w:tcPr>
            <w:tcW w:type="dxa" w:w="650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Percentiles 97 y 3 de los dividend yields históricos</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Dividend Aristocrat</w:t>
            </w:r>
          </w:p>
        </w:tc>
        <w:tc>
          <w:tcPr>
            <w:tcW w:type="dxa" w:w="650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Empresa con 25+ años consecutivos de incremento de dividendos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EV/EBITDA</w:t>
            </w:r>
          </w:p>
        </w:tc>
        <w:tc>
          <w:tcPr>
            <w:tcW w:type="dxa" w:w="650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Enterprise Value / Beneficio Antes de Intereses, Impuestos, Depreciación y Amortización</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EV/FCF</w:t>
            </w:r>
          </w:p>
        </w:tc>
        <w:tc>
          <w:tcPr>
            <w:tcW w:type="dxa" w:w="650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Enterprise Value / Free Cash Flow — métrica de valoración basada en flujo de caja</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bCs/>
                <w:color w:val="52525B"/>
                <w:sz w:val="18"/>
                <w:szCs w:val="18"/>
              </w:rPr>
              <w:t xml:space="preserve">Precio Infravalorado</w:t>
            </w:r>
          </w:p>
        </w:tc>
        <w:tc>
          <w:tcPr>
            <w:tcW w:type="dxa" w:w="650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Precio al que el yield alcanza máximos históricos (límite de zona de compra)</w:t>
            </w:r>
          </w:p>
        </w:tc>
      </w:tr>
      <w:tr>
        <w:tc>
          <w:tcPr>
            <w:tcW w:type="dxa" w:w="30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bCs/>
                <w:color w:val="52525B"/>
                <w:sz w:val="18"/>
                <w:szCs w:val="18"/>
              </w:rPr>
              <w:t xml:space="preserve">Precio Sobrevalorado</w:t>
            </w:r>
          </w:p>
        </w:tc>
        <w:tc>
          <w:tcPr>
            <w:tcW w:type="dxa" w:w="6506"/>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vAlign w:val="center"/>
          </w:tcPr>
          <w:p>
            <w:r>
              <w:rPr>
                <w:rFonts w:ascii="Inter" w:cs="Inter" w:eastAsia="Inter" w:hAnsi="Inter"/>
                <w:b w:val="false"/>
                <w:bCs w:val="false"/>
                <w:color w:val="52525B"/>
                <w:sz w:val="18"/>
                <w:szCs w:val="18"/>
              </w:rPr>
              <w:t xml:space="preserve">Precio al que el yield cae a mínimos históricos (límite de zona de venta)</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A1A1AA"/>
        <w:sz w:val="16"/>
        <w:szCs w:val="16"/>
      </w:rPr>
      <w:t xml:space="preserve">Página </w:t>
    </w:r>
    <w:r>
      <w:rPr>
        <w:rFonts w:ascii="Inter" w:cs="Inter" w:eastAsia="Inter" w:hAnsi="Inter"/>
        <w:color w:val="A1A1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6"/>
      </w:pBdr>
      <w:tabs>
        <w:tab w:val="right" w:pos="9026"/>
      </w:tabs>
    </w:pPr>
    <w:r>
      <w:rPr>
        <w:rFonts w:ascii="Inter" w:cs="Inter" w:eastAsia="Inter" w:hAnsi="Inter"/>
        <w:b/>
        <w:bCs/>
        <w:color w:val="A1A1AA"/>
        <w:spacing w:val="100"/>
        <w:sz w:val="16"/>
        <w:szCs w:val="16"/>
      </w:rPr>
      <w:t xml:space="preserve">PLAZAFOLIO</w:t>
    </w:r>
    <w:r>
      <w:rPr>
        <w:rFonts w:ascii="Inter" w:cs="Inter" w:eastAsia="Inter" w:hAnsi="Inter"/>
        <w:color w:val="A1A1AA"/>
        <w:sz w:val="16"/>
        <w:szCs w:val="16"/>
      </w:rPr>
      <w:t xml:space="preserve">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0F1117"/>
      <w:sz w:val="36"/>
      <w:szCs w:val="36"/>
    </w:rPr>
  </w:style>
  <w:style w:type="paragraph" w:styleId="Heading2">
    <w:name w:val="Heading 2"/>
    <w:basedOn w:val="Normal"/>
    <w:next w:val="Normal"/>
    <w:qFormat/>
    <w:pPr>
      <w:spacing w:after="120" w:before="300"/>
      <w:outlineLvl w:val="1"/>
    </w:pPr>
    <w:rPr>
      <w:rFonts w:ascii="Inter" w:cs="Inter" w:eastAsia="Inter" w:hAnsi="Inter"/>
      <w:b/>
      <w:bCs/>
      <w:color w:val="405BFF"/>
      <w:sz w:val="28"/>
      <w:szCs w:val="28"/>
    </w:rPr>
  </w:style>
  <w:style w:type="paragraph" w:styleId="Heading3">
    <w:name w:val="Heading 3"/>
    <w:basedOn w:val="Normal"/>
    <w:next w:val="Normal"/>
    <w:qFormat/>
    <w:pPr>
      <w:spacing w:after="100" w:before="200"/>
      <w:outlineLvl w:val="2"/>
    </w:pPr>
    <w:rPr>
      <w:rFonts w:ascii="Inter" w:cs="Inter" w:eastAsia="Inter" w:hAnsi="Inter"/>
      <w:b/>
      <w:bCs/>
      <w:color w:val="5252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009a8a86217940ddd454645635bc788a22ab9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2026-04-07T18:02:28.284Z</dcterms:created>
  <dcterms:modified xsi:type="dcterms:W3CDTF">2026-04-07T18:02:28.285Z</dcterms:modified>
</cp:coreProperties>
</file>

<file path=docProps/custom.xml><?xml version="1.0" encoding="utf-8"?>
<Properties xmlns="http://schemas.openxmlformats.org/officeDocument/2006/custom-properties" xmlns:vt="http://schemas.openxmlformats.org/officeDocument/2006/docPropsVTypes"/>
</file>