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</w:pPr>
    </w:p>
    <w:p>
      <w:pPr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logo" descr="Plazafolio logo" title="Plazafo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00"/>
      </w:pP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0F1117"/>
          <w:spacing w:val="240"/>
          <w:sz w:val="56"/>
          <w:szCs w:val="56"/>
        </w:rPr>
        <w:t xml:space="preserve">PLAZAFOLIO</w:t>
      </w:r>
    </w:p>
    <w:p>
      <w:pPr>
        <w:spacing w:after="40"/>
        <w:jc w:val="center"/>
      </w:pPr>
      <w:r>
        <w:rPr>
          <w:rFonts w:ascii="Inter" w:cs="Inter" w:eastAsia="Inter" w:hAnsi="Inter"/>
          <w:color w:val="405BFF"/>
          <w:sz w:val="26"/>
          <w:szCs w:val="26"/>
        </w:rPr>
        <w:t xml:space="preserve">Dividend Investment Analysis Platform</w:t>
      </w:r>
    </w:p>
    <w:p>
      <w:pPr>
        <w:pBdr>
          <w:bottom w:val="single" w:color="405BFF" w:sz="2" w:space="12"/>
        </w:pBdr>
        <w:jc w:val="center"/>
      </w:pPr>
    </w:p>
    <w:p>
      <w:pPr>
        <w:spacing w:after="0" w:before="400"/>
      </w:pPr>
    </w:p>
    <w:p>
      <w:pPr>
        <w:spacing w:after="60"/>
        <w:jc w:val="center"/>
      </w:pPr>
      <w:r>
        <w:rPr>
          <w:rFonts w:ascii="Inter" w:cs="Inter" w:eastAsia="Inter" w:hAnsi="Inter"/>
          <w:color w:val="52525B"/>
          <w:sz w:val="28"/>
          <w:szCs w:val="28"/>
        </w:rPr>
        <w:t xml:space="preserve">Technical Documentation</w:t>
      </w:r>
    </w:p>
    <w:p>
      <w:pPr>
        <w:spacing w:after="60"/>
        <w:jc w:val="center"/>
      </w:pPr>
      <w:r>
        <w:rPr>
          <w:rFonts w:ascii="Inter" w:cs="Inter" w:eastAsia="Inter" w:hAnsi="Inter"/>
          <w:color w:val="A1A1AA"/>
          <w:sz w:val="18"/>
          <w:szCs w:val="18"/>
        </w:rPr>
        <w:t xml:space="preserve">Architecture, Scoring Models, Formulas &amp; Data Sources</w:t>
      </w:r>
    </w:p>
    <w:p>
      <w:pPr>
        <w:spacing w:after="0" w:before="2000"/>
      </w:pPr>
    </w:p>
    <w:p>
      <w:pPr>
        <w:jc w:val="center"/>
      </w:pPr>
      <w:r>
        <w:rPr>
          <w:rFonts w:ascii="Inter" w:cs="Inter" w:eastAsia="Inter" w:hAnsi="Inter"/>
          <w:color w:val="A1A1AA"/>
          <w:sz w:val="18"/>
          <w:szCs w:val="18"/>
        </w:rPr>
        <w:t xml:space="preserve">v1.0  —  April 2026</w:t>
      </w:r>
    </w:p>
    <w:p>
      <w:pPr>
        <w:jc w:val="center"/>
      </w:pPr>
      <w:r>
        <w:rPr>
          <w:rFonts w:ascii="Inter" w:cs="Inter" w:eastAsia="Inter" w:hAnsi="Inter"/>
          <w:color w:val="A1A1AA"/>
          <w:sz w:val="18"/>
          <w:szCs w:val="18"/>
        </w:rPr>
        <w:t xml:space="preserve">Confidential — Internal Use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Plazafolio is a dividend investment analysis platform built on the </w:t>
      </w:r>
      <w:r>
        <w:rPr>
          <w:rFonts w:ascii="Inter" w:cs="Inter" w:eastAsia="Inter" w:hAnsi="Inter"/>
          <w:b/>
          <w:bCs/>
          <w:color w:val="0F1117"/>
          <w:sz w:val="21"/>
          <w:szCs w:val="21"/>
        </w:rPr>
        <w:t xml:space="preserve">Geraldine Weiss value investing methodology</w:t>
      </w:r>
      <w:r>
        <w:rPr>
          <w:rFonts w:ascii="Inter" w:cs="Inter" w:eastAsia="Inter" w:hAnsi="Inter"/>
          <w:color w:val="52525B"/>
          <w:sz w:val="21"/>
          <w:szCs w:val="21"/>
        </w:rPr>
        <w:t xml:space="preserve">. It combines real-time market data, historical yield analysis, fundamental scoring, and AI-powered insights to help investors identify undervalued dividend-paying stocks, construct optimal portfolios, and project long-term income growth.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This document details every calculation, formula, and data source used throughout the platform. It serves as the definitive reference for understanding how each metric, score, signal, and recommendation is derived.</w:t>
      </w:r>
    </w:p>
    <w:p>
      <w:pPr>
        <w:pStyle w:val="Heading3"/>
      </w:pPr>
      <w:r>
        <w:t xml:space="preserve">Core Philosophy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Geraldine Weiss (1926–2022) pioneered the concept that </w:t>
      </w:r>
      <w:r>
        <w:rPr>
          <w:rFonts w:ascii="Inter" w:cs="Inter" w:eastAsia="Inter" w:hAnsi="Inter"/>
          <w:b/>
          <w:bCs/>
          <w:color w:val="0F1117"/>
          <w:sz w:val="21"/>
          <w:szCs w:val="21"/>
        </w:rPr>
        <w:t xml:space="preserve">dividend yield</w:t>
      </w:r>
      <w:r>
        <w:rPr>
          <w:rFonts w:ascii="Inter" w:cs="Inter" w:eastAsia="Inter" w:hAnsi="Inter"/>
          <w:color w:val="52525B"/>
          <w:sz w:val="21"/>
          <w:szCs w:val="21"/>
        </w:rPr>
        <w:t xml:space="preserve"> is the most reliable measure of stock value. Her method compares a stock’s current yield to its historical yield range to determine if it’s undervalued (high yield = low price) or overvalued (low yield = high price). Plazafolio extends this approach with modern quantitative scoring and projection tools.</w:t>
      </w:r>
    </w:p>
    <w:p>
      <w:pPr>
        <w:pStyle w:val="Heading3"/>
      </w:pPr>
      <w:r>
        <w:t xml:space="preserve">Data Sources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All financial data is sourced from: Yahoo Finance (prices, dividends, fundamentals), Financial Modeling Prep API (company profiles, financial statements, cash flow), SEC EDGAR / ESEF (regulatory filings and annual reports), and Google Gemini (AI-powered narrative analysis when configured).</w:t>
      </w:r>
    </w:p>
    <w:p>
      <w:pPr>
        <w:pBdr>
          <w:bottom w:val="single" w:color="E2E8F0" w:sz="1" w:space="8"/>
        </w:pBdr>
        <w:spacing w:after="200" w:before="200"/>
      </w:pPr>
    </w:p>
    <w:p>
      <w:pPr>
        <w:pStyle w:val="Heading1"/>
      </w:pPr>
      <w:r>
        <w:t xml:space="preserve">2. Platform Overview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The platform is organized into six main views, each serving a distinct analytical purpose.</w:t>
      </w:r>
    </w:p>
    <w:p>
      <w:pPr>
        <w:pStyle w:val="Heading2"/>
      </w:pPr>
      <w:r>
        <w:t xml:space="preserve">2.1 Analysis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The core analysis dashboard for a selected stock. Displays Geraldine Weiss price bands (undervalued/overvalued zones), historical yield progression, dividend payment history, CAGR projections, drawdown from peak, payout sustainability, revenue/margins/debt trends, and EV/EBITDA and EV/FCF valuation multiples. SEC/ESEF filings can be summarized via Gemini AI with optional audio playback. Includes a Dividend Safety Card with mechanical scoring.</w:t>
      </w:r>
    </w:p>
    <w:p>
      <w:pPr>
        <w:pStyle w:val="Heading2"/>
      </w:pPr>
      <w:r>
        <w:t xml:space="preserve">2.2 Ranking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Ranks all tracked assets by the composite Weiss Buy Score (0–100). Each asset shows a 7-factor breakdown with heat-coded bars: yield position, CAGR growth, consistency, margin of safety, dividend streak, payout ratio, and fundamentals. The signal (Compra Fuerte, Compra, Vigilar, Mantener, Caro, Vender) is derived directly from the score.</w:t>
      </w:r>
    </w:p>
    <w:p>
      <w:pPr>
        <w:pStyle w:val="Heading2"/>
      </w:pPr>
      <w:r>
        <w:t xml:space="preserve">2.3 Portfolio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Displays holdings with position metrics: total value, annual dividend income, weighted yield-on-cost, and P&amp;L. Includes allocation distribution charts (by asset and by sector). Transaction tracking with full buy/sell history. Per-asset detail view with charts and reports.</w:t>
      </w:r>
    </w:p>
    <w:p>
      <w:pPr>
        <w:pStyle w:val="Heading2"/>
      </w:pPr>
      <w:r>
        <w:t xml:space="preserve">2.4 Dividends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Calendar view of dividend payments by month. Shows expected payments based on historical frequency detection (monthly, quarterly, semi-annual, annual). KPI cards display monthly/annual income totals. Links to the Simulator for income optimization.</w:t>
      </w:r>
    </w:p>
    <w:p>
      <w:pPr>
        <w:pStyle w:val="Heading2"/>
      </w:pPr>
      <w:r>
        <w:t xml:space="preserve">2.5 Simulator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Investment optimization engine. Given an amount to invest and a time horizon, it scores all candidate assets using a 4-factor composite model, allocates capital with dynamic weighting, projects income via DRIP compounding, and shows portfolio impact (before/after metrics). Includes Gemini-powered analysis text explaining the recommendation.</w:t>
      </w:r>
    </w:p>
    <w:p>
      <w:pPr>
        <w:pStyle w:val="Heading2"/>
      </w:pPr>
      <w:r>
        <w:t xml:space="preserve">2.6 Settings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Configuration for the Google Gemini API key. Validates connectivity and displays available model quotas. The platform functions without Gemini (basic analysis), but AI features require it.</w:t>
      </w:r>
    </w:p>
    <w:p>
      <w:pPr>
        <w:pBdr>
          <w:bottom w:val="single" w:color="E2E8F0" w:sz="1" w:space="8"/>
        </w:pBdr>
        <w:spacing w:after="200" w:before="200"/>
      </w:pPr>
    </w:p>
    <w:p>
      <w:pPr>
        <w:pStyle w:val="Heading1"/>
      </w:pPr>
      <w:r>
        <w:t xml:space="preserve">3. Geraldine Weiss Analysis Engine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This is the core analytical engine. It processes raw dividend and price history to produce yield channels, price bands, and valuation signals.</w:t>
      </w:r>
    </w:p>
    <w:p>
      <w:pPr>
        <w:pStyle w:val="Heading2"/>
      </w:pPr>
      <w:r>
        <w:t xml:space="preserve">3.1 Dividend Frequency Detection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The system analyzes the last 8 dividend payments to determine payment frequency. It calculates the average number of days between payments and classifies: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Average Interval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Multiplier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&lt; 50 days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Monthly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50–120 days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Quarterly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120–250 days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Semi-annual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≥ 250 days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Annual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A1A1AA"/>
          <w:sz w:val="18"/>
          <w:szCs w:val="18"/>
        </w:rPr>
        <w:t xml:space="preserve">Intervals &gt; 400 days (13+ months) are excluded as gaps.</w:t>
      </w:r>
    </w:p>
    <w:p>
      <w:pPr>
        <w:pStyle w:val="Heading2"/>
      </w:pPr>
      <w:r>
        <w:t xml:space="preserve">3.2 Trailing Annual Dividend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Formula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annualDividend = lastDividendAmount × frequency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Frequency-based extrapolation avoids rolling-window double-counting artifacts.</w:t>
      </w:r>
    </w:p>
    <w:p>
      <w:pPr>
        <w:pStyle w:val="Heading2"/>
      </w:pPr>
      <w:r>
        <w:t xml:space="preserve">3.3 Daily Dividend Yield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Formula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dividendYield = (annualDividend / closePrice) × 100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Yield remains constant between payment dates, creating a stepped effect in the yield channel.</w:t>
      </w:r>
    </w:p>
    <w:p>
      <w:pPr>
        <w:pStyle w:val="Heading2"/>
      </w:pPr>
      <w:r>
        <w:t xml:space="preserve">3.4 Historical Yield Bands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The yield channel is calculated using percentile-based statistical bounds over the configured analysis period (8, 10, 12, or 15 years). This avoids annual max/min extremes and uses the full distribution.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Percentile Interpolation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idx = (percentile / 100) × (n - 1)
value = arr[floor(idx)] + (arr[ceil(idx)] - arr[floor(idx)]) × (idx - floor(idx))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Percentile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avgHighYield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P97 (97th)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Historical high yield zone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avgLowYield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P3 (3rd)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Historical low yield zone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avgYield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Mean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Arithmetic mean of all yields</w:t>
            </w:r>
          </w:p>
        </w:tc>
      </w:tr>
    </w:tbl>
    <w:p>
      <w:pPr>
        <w:pStyle w:val="Heading2"/>
      </w:pPr>
      <w:r>
        <w:t xml:space="preserve">3.5 Price Bands (Valuation Zones)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Inverting the yield bands produces price targets. When the price drops low enough that the yield reaches the historical high yield, the stock is considered undervalued: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Undervalued Price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undervaluedPrice = (annualDividend / avgHighYield) × 100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Price at which yield hits historical highs → BUY signal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Overvalued Price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overvaluedPrice = (annualDividend / avgLowYield) × 100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Price at which yield hits historical lows → SELL signal</w:t>
      </w:r>
    </w:p>
    <w:p>
      <w:pPr>
        <w:pStyle w:val="Heading2"/>
      </w:pPr>
      <w:r>
        <w:t xml:space="preserve">3.6 Yield Ratio (Position in Channel)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Formula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yieldRatio = (currentYield - avgLowYield) / (avgHighYield - avgLowYield)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0 = at overvalued boundary, 1.0 = at undervalued boundary, &gt;1.0 = beyond historical buy zone</w:t>
      </w:r>
    </w:p>
    <w:p>
      <w:pPr>
        <w:pStyle w:val="Heading2"/>
      </w:pPr>
      <w:r>
        <w:t xml:space="preserve">3.7 Dividend Growth (CAGR)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Formula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CAGR = (lastDividend / firstDividend) ^ (1 / numYears) - 1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Compound Annual Growth Rate of the trailing annual dividend over the full history period.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Projection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projected[i] = lastDividend × (1 + CAGR)^i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Used for income projection charts and simulator scenarios.</w:t>
      </w:r>
    </w:p>
    <w:p>
      <w:pPr>
        <w:pStyle w:val="Heading2"/>
      </w:pPr>
      <w:r>
        <w:t xml:space="preserve">3.8 Upside Potential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Formula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upsidePct = ((undervaluedPrice - currentPrice) / currentPrice) × 100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Percentage distance from current price to the historical buy zone. Positive = room to appreciate.</w:t>
      </w:r>
    </w:p>
    <w:p>
      <w:pPr>
        <w:pBdr>
          <w:bottom w:val="single" w:color="E2E8F0" w:sz="1" w:space="8"/>
        </w:pBdr>
        <w:spacing w:after="200" w:before="200"/>
      </w:pPr>
    </w:p>
    <w:p>
      <w:pPr>
        <w:pStyle w:val="Heading1"/>
      </w:pPr>
      <w:r>
        <w:t xml:space="preserve">4. Weiss Buy Score (0–100)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The composite score that powers the Ranking page. It aggregates 7 factors into a single 0–100 score. The yield position factor dominates at 45 points maximum, reflecting Weiss’s philosophy that yield is the primary valuation signal.</w:t>
      </w:r>
    </w:p>
    <w:p>
      <w:pPr>
        <w:pStyle w:val="Heading2"/>
      </w:pPr>
      <w:r>
        <w:t xml:space="preserve">4.1 Factor 1: Yield Position (0–45 pts)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The dominant factor. Uses the yieldRatio from the Geraldine engine: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4754"/>
        <w:gridCol w:w="2376"/>
      </w:tblGrid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Yield Ratio</w:t>
            </w:r>
          </w:p>
        </w:tc>
        <w:tc>
          <w:tcPr>
            <w:tcW w:type="dxa" w:w="47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≥ 1.0</w:t>
            </w:r>
          </w:p>
        </w:tc>
        <w:tc>
          <w:tcPr>
            <w:tcW w:type="dxa" w:w="47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32 + (min(yieldRatio - 1.0, 0.5) / 0.5) × 13</w:t>
            </w:r>
          </w:p>
        </w:tc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32–45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0.7–1.0</w:t>
            </w:r>
          </w:p>
        </w:tc>
        <w:tc>
          <w:tcPr>
            <w:tcW w:type="dxa" w:w="47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22 + ((yieldRatio - 0.7) / 0.3) × 10</w:t>
            </w:r>
          </w:p>
        </w:tc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22–32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0.4–0.7</w:t>
            </w:r>
          </w:p>
        </w:tc>
        <w:tc>
          <w:tcPr>
            <w:tcW w:type="dxa" w:w="47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10 + ((yieldRatio - 0.4) / 0.3) × 12</w:t>
            </w:r>
          </w:p>
        </w:tc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10–22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&lt; 0.4</w:t>
            </w:r>
          </w:p>
        </w:tc>
        <w:tc>
          <w:tcPr>
            <w:tcW w:type="dxa" w:w="47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(yieldRatio / 0.4) × 10</w:t>
            </w:r>
          </w:p>
        </w:tc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0–10</w:t>
            </w:r>
          </w:p>
        </w:tc>
      </w:tr>
    </w:tbl>
    <w:p>
      <w:pPr>
        <w:pStyle w:val="Heading2"/>
      </w:pPr>
      <w:r>
        <w:t xml:space="preserve">4.2 Factor 2: CAGR Growth (0–12 pts)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Positive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cagrScore = min(cagr × 0.8, 12)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5% CAGR = 4 pts, 15%+ = 12 pts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Negative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cagrScore = max(cagr × 0.5, -4)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Maximum penalty: -4 pts</w:t>
      </w:r>
    </w:p>
    <w:p>
      <w:pPr>
        <w:pStyle w:val="Heading2"/>
      </w:pPr>
      <w:r>
        <w:t xml:space="preserve">4.3 Factor 3: Consistency (0–8 pts)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Formula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consistencyScore = min(yearCount, 8)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Number of distinct calendar years with dividend payments. 8+ years = full score.</w:t>
      </w:r>
    </w:p>
    <w:p>
      <w:pPr>
        <w:pStyle w:val="Heading2"/>
      </w:pPr>
      <w:r>
        <w:t xml:space="preserve">4.4 Factor 4: Margin of Safety (0–5 pts)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Formula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marginScore = min(upsidePct / 0.3, 1) × 5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30%+ upside to undervalued price = full 5 points.</w:t>
      </w:r>
    </w:p>
    <w:p>
      <w:pPr>
        <w:pStyle w:val="Heading2"/>
      </w:pPr>
      <w:r>
        <w:t xml:space="preserve">4.5 Factor 5: Dividend Streak (0–12 pts)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Consecutive years of annual dividend increases: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Streak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≥ 25 years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Fixed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10–24 years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8 + ((streak - 10) / 15) × 4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8–11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5–9 years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4 + ((streak - 5) / 5) × 4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4–8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1–4 years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Direct value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1–4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A1A1AA"/>
          <w:sz w:val="18"/>
          <w:szCs w:val="18"/>
        </w:rPr>
        <w:t xml:space="preserve">Dividend Aristocrats (≥25 consecutive years) receive automatic maximum score.</w:t>
      </w:r>
    </w:p>
    <w:p>
      <w:pPr>
        <w:pStyle w:val="Heading2"/>
      </w:pPr>
      <w:r>
        <w:t xml:space="preserve">4.6 Factor 6: Payout Ratio (-8 to +5 pts)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Based on Free Cash Flow payout (preferred) or Net Income payout (fallback):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FCF Payout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fcfPayout = (dividendsPaid / freeCashFlow) × 100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4754"/>
        <w:gridCol w:w="2376"/>
      </w:tblGrid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Payout Ratio</w:t>
            </w:r>
          </w:p>
        </w:tc>
        <w:tc>
          <w:tcPr>
            <w:tcW w:type="dxa" w:w="47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&lt; 30%</w:t>
            </w:r>
          </w:p>
        </w:tc>
        <w:tc>
          <w:tcPr>
            <w:tcW w:type="dxa" w:w="47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Very safe, room for growth</w:t>
            </w:r>
          </w:p>
        </w:tc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6A34A"/>
                <w:sz w:val="18"/>
                <w:szCs w:val="18"/>
              </w:rPr>
              <w:t xml:space="preserve">+5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30–50%</w:t>
            </w:r>
          </w:p>
        </w:tc>
        <w:tc>
          <w:tcPr>
            <w:tcW w:type="dxa" w:w="47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Healthy</w:t>
            </w:r>
          </w:p>
        </w:tc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6A34A"/>
                <w:sz w:val="18"/>
                <w:szCs w:val="18"/>
              </w:rPr>
              <w:t xml:space="preserve">+3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50–70%</w:t>
            </w:r>
          </w:p>
        </w:tc>
        <w:tc>
          <w:tcPr>
            <w:tcW w:type="dxa" w:w="47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Acceptable</w:t>
            </w:r>
          </w:p>
        </w:tc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+1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70–85%</w:t>
            </w:r>
          </w:p>
        </w:tc>
        <w:tc>
          <w:tcPr>
            <w:tcW w:type="dxa" w:w="47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At limit</w:t>
            </w:r>
          </w:p>
        </w:tc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85–100%</w:t>
            </w:r>
          </w:p>
        </w:tc>
        <w:tc>
          <w:tcPr>
            <w:tcW w:type="dxa" w:w="47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Danger zone</w:t>
            </w:r>
          </w:p>
        </w:tc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DC2626"/>
                <w:sz w:val="18"/>
                <w:szCs w:val="18"/>
              </w:rPr>
              <w:t xml:space="preserve">-4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&gt; 100%</w:t>
            </w:r>
          </w:p>
        </w:tc>
        <w:tc>
          <w:tcPr>
            <w:tcW w:type="dxa" w:w="475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Unsustainable</w:t>
            </w:r>
          </w:p>
        </w:tc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DC2626"/>
                <w:sz w:val="18"/>
                <w:szCs w:val="18"/>
              </w:rPr>
              <w:t xml:space="preserve">-8</w:t>
            </w:r>
          </w:p>
        </w:tc>
      </w:tr>
    </w:tbl>
    <w:p>
      <w:pPr>
        <w:pStyle w:val="Heading2"/>
      </w:pPr>
      <w:r>
        <w:t xml:space="preserve">4.7 Factor 7: Fundamentals (-7 to +5 pts)</w:t>
      </w:r>
    </w:p>
    <w:p>
      <w:pPr>
        <w:pStyle w:val="Heading3"/>
      </w:pPr>
      <w:r>
        <w:t xml:space="preserve">A) Debt/EBITDA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Formula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debtToEbitda = totalDebt / ebitda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D/EBITDA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&lt; 1.0x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Low debt, excellent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6A34A"/>
                <w:sz w:val="18"/>
                <w:szCs w:val="18"/>
              </w:rPr>
              <w:t xml:space="preserve">+3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1.0–2.0x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Manageable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+2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2.0–3.0x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Normal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3.0–5.0x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High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DC2626"/>
                <w:sz w:val="18"/>
                <w:szCs w:val="18"/>
              </w:rPr>
              <w:t xml:space="preserve">-2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&gt; 5.0x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Very high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DC2626"/>
                <w:sz w:val="18"/>
                <w:szCs w:val="18"/>
              </w:rPr>
              <w:t xml:space="preserve">-4</w:t>
            </w:r>
          </w:p>
        </w:tc>
      </w:tr>
    </w:tbl>
    <w:p>
      <w:pPr>
        <w:pStyle w:val="Heading3"/>
      </w:pPr>
      <w:r>
        <w:t xml:space="preserve">B) Share Dilution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Formula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dilution = ((recentShares - sharesFrom4YearsAgo) / sharesFrom4YearsAgo) × 100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Dilution %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&lt; -5%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Significant buyback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6A34A"/>
                <w:sz w:val="18"/>
                <w:szCs w:val="18"/>
              </w:rPr>
              <w:t xml:space="preserve">+2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-5% to -1%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Light buyback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+1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-1% to +3%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Stable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+3% to +10%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Light dilution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DC2626"/>
                <w:sz w:val="18"/>
                <w:szCs w:val="18"/>
              </w:rPr>
              <w:t xml:space="preserve">-1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&gt; +10%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Significant dilution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DC2626"/>
                <w:sz w:val="18"/>
                <w:szCs w:val="18"/>
              </w:rPr>
              <w:t xml:space="preserve">-3</w:t>
            </w:r>
          </w:p>
        </w:tc>
      </w:tr>
    </w:tbl>
    <w:p>
      <w:pPr>
        <w:pStyle w:val="Heading2"/>
      </w:pPr>
      <w:r>
        <w:t xml:space="preserve">4.8 Final Score &amp; Signal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Total Score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score = clamp(0, 100, yieldScore + cagrScore + consistencyScore + marginScore + streakScore + payoutScore + fundamentalsScore)</w:t>
      </w:r>
    </w:p>
    <w:p>
      <w:pPr>
        <w:spacing w:after="0"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4000"/>
        <w:gridCol w:w="3130"/>
      </w:tblGrid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1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Heat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≥ 75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6A34A"/>
                <w:sz w:val="18"/>
                <w:szCs w:val="18"/>
              </w:rPr>
              <w:t xml:space="preserve">Compra Fuerte (Strong Buy)</w:t>
            </w:r>
          </w:p>
        </w:tc>
        <w:tc>
          <w:tcPr>
            <w:tcW w:type="dxa" w:w="31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5 / 5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60–74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22C55E"/>
                <w:sz w:val="18"/>
                <w:szCs w:val="18"/>
              </w:rPr>
              <w:t xml:space="preserve">Compra (Buy)</w:t>
            </w:r>
          </w:p>
        </w:tc>
        <w:tc>
          <w:tcPr>
            <w:tcW w:type="dxa" w:w="31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4 / 5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45–59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EAB308"/>
                <w:sz w:val="18"/>
                <w:szCs w:val="18"/>
              </w:rPr>
              <w:t xml:space="preserve">Vigilar (Watch)</w:t>
            </w:r>
          </w:p>
        </w:tc>
        <w:tc>
          <w:tcPr>
            <w:tcW w:type="dxa" w:w="31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3 / 5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30–44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F97316"/>
                <w:sz w:val="18"/>
                <w:szCs w:val="18"/>
              </w:rPr>
              <w:t xml:space="preserve">Mantener (Hold)</w:t>
            </w:r>
          </w:p>
        </w:tc>
        <w:tc>
          <w:tcPr>
            <w:tcW w:type="dxa" w:w="31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2 / 5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15–29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EF4444"/>
                <w:sz w:val="18"/>
                <w:szCs w:val="18"/>
              </w:rPr>
              <w:t xml:space="preserve">Caro (Expensive)</w:t>
            </w:r>
          </w:p>
        </w:tc>
        <w:tc>
          <w:tcPr>
            <w:tcW w:type="dxa" w:w="31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 / 5</w:t>
            </w:r>
          </w:p>
        </w:tc>
      </w:tr>
      <w:tr>
        <w:tc>
          <w:tcPr>
            <w:tcW w:type="dxa" w:w="23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&lt; 15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DC2626"/>
                <w:sz w:val="18"/>
                <w:szCs w:val="18"/>
              </w:rPr>
              <w:t xml:space="preserve">Vender (Sell)</w:t>
            </w:r>
          </w:p>
        </w:tc>
        <w:tc>
          <w:tcPr>
            <w:tcW w:type="dxa" w:w="31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 / 5</w:t>
            </w:r>
          </w:p>
        </w:tc>
      </w:tr>
    </w:tbl>
    <w:p>
      <w:pPr>
        <w:pStyle w:val="Heading2"/>
      </w:pPr>
      <w:r>
        <w:t xml:space="preserve">4.9 Factor Weight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8"/>
        <w:gridCol w:w="2168"/>
        <w:gridCol w:w="217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Max %</w:t>
            </w:r>
          </w:p>
        </w:tc>
        <w:tc>
          <w:tcPr>
            <w:tcW w:type="dxa" w:w="2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Input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Yield Position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0–45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45%</w:t>
            </w:r>
          </w:p>
        </w:tc>
        <w:tc>
          <w:tcPr>
            <w:tcW w:type="dxa" w:w="2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P3/P97 bands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CAGR Growth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-4 to +12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12%</w:t>
            </w:r>
          </w:p>
        </w:tc>
        <w:tc>
          <w:tcPr>
            <w:tcW w:type="dxa" w:w="2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Div. history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0–8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8%</w:t>
            </w:r>
          </w:p>
        </w:tc>
        <w:tc>
          <w:tcPr>
            <w:tcW w:type="dxa" w:w="2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Years paying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Margin of Safety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0–5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5%</w:t>
            </w:r>
          </w:p>
        </w:tc>
        <w:tc>
          <w:tcPr>
            <w:tcW w:type="dxa" w:w="2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Upside %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Dividend Streak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0–12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12%</w:t>
            </w:r>
          </w:p>
        </w:tc>
        <w:tc>
          <w:tcPr>
            <w:tcW w:type="dxa" w:w="2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Consecutive ↑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Payout Ratio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-8 to +5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≈13%</w:t>
            </w:r>
          </w:p>
        </w:tc>
        <w:tc>
          <w:tcPr>
            <w:tcW w:type="dxa" w:w="2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FCF / Net Inc.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Fundamentals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-7 to +5</w:t>
            </w:r>
          </w:p>
        </w:tc>
        <w:tc>
          <w:tcPr>
            <w:tcW w:type="dxa" w:w="2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≈12%</w:t>
            </w:r>
          </w:p>
        </w:tc>
        <w:tc>
          <w:tcPr>
            <w:tcW w:type="dxa" w:w="2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D/E + Dilution</w:t>
            </w:r>
          </w:p>
        </w:tc>
      </w:tr>
    </w:tbl>
    <w:p>
      <w:pPr>
        <w:pBdr>
          <w:bottom w:val="single" w:color="E2E8F0" w:sz="1" w:space="8"/>
        </w:pBdr>
        <w:spacing w:after="200" w:before="200"/>
      </w:pPr>
    </w:p>
    <w:p>
      <w:pPr>
        <w:pStyle w:val="Heading1"/>
      </w:pPr>
      <w:r>
        <w:t xml:space="preserve">5. Income Simulator Engine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The Simulator recommends how to allocate new capital across portfolio candidates. It uses a 4-factor composite score (different from the 7-factor Ranking score) optimized for income generation, then dynamically allocates capital and projects income via DRIP compounding.</w:t>
      </w:r>
    </w:p>
    <w:p>
      <w:pPr>
        <w:pStyle w:val="Heading2"/>
      </w:pPr>
      <w:r>
        <w:t xml:space="preserve">5.1 Composite Score (4 Factors × 25%)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Each factor is normalized to 0–10 points, then weighted equally at 25%: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Composite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compositeScore = (adjustedYield × 0.25) + (growth × 0.25) + (safety × 0.25) + (valuation × 0.25)</w:t>
      </w:r>
    </w:p>
    <w:p>
      <w:pPr>
        <w:pStyle w:val="Heading3"/>
      </w:pPr>
      <w:r>
        <w:t xml:space="preserve">Factor A: Adjusted Yield (0–10)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Base yield is scored with a sweet-spot curve (2–6% optimal, &gt;8% penalized as yield traps), then multiplied by a Weiss Position Multiplier: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Yield Ratio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Multiplier Range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≥ 1.0 (buy zone)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1.2–1.5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Amplifies: cheap = high YoC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0.7–1.0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1.0–1.2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Slight boost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0.4–0.7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0.85–1.0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Neutral to slight dampen</w:t>
            </w:r>
          </w:p>
        </w:tc>
      </w:tr>
      <w:tr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&lt; 0.4 (expensive)</w:t>
            </w:r>
          </w:p>
        </w:tc>
        <w:tc>
          <w:tcPr>
            <w:tcW w:type="dxa" w:w="316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0.6–0.85</w:t>
            </w:r>
          </w:p>
        </w:tc>
        <w:tc>
          <w:tcPr>
            <w:tcW w:type="dxa" w:w="3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Dampens: expensive entry</w:t>
            </w:r>
          </w:p>
        </w:tc>
      </w:tr>
    </w:tbl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Result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adjustedYieldScore = min(10, baseYield × weissMultiplier)</w:t>
      </w:r>
    </w:p>
    <w:p>
      <w:pPr>
        <w:pStyle w:val="Heading3"/>
      </w:pPr>
      <w:r>
        <w:t xml:space="preserve">Factor B: Growth (0–10)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Formula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growthScore = min(10, max(0, cagr / 1.5))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7.5% CAGR = 5 pts, 15%+ = 10 pts</w:t>
      </w:r>
    </w:p>
    <w:p>
      <w:pPr>
        <w:pStyle w:val="Heading3"/>
      </w:pPr>
      <w:r>
        <w:t xml:space="preserve">Factor C: Safety (0–10)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Normalized directly from the asset’s safety score (payout coverage, cash flow stability).</w:t>
      </w:r>
    </w:p>
    <w:p>
      <w:pPr>
        <w:pStyle w:val="Heading3"/>
      </w:pPr>
      <w:r>
        <w:t xml:space="preserve">Factor D: Valuation Potential (0–10)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Positive upside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valuationScore = 5 + (upsidePct / 50) × 5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0% upside = 5 pts, 50%+ = 10 pts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Negative (overvalued)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valuationScore = max(0, 5 + (upsidePct / 50) × 5)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-50% downside = 0 pts</w:t>
      </w:r>
    </w:p>
    <w:p>
      <w:pPr>
        <w:pStyle w:val="Heading2"/>
      </w:pPr>
      <w:r>
        <w:t xml:space="preserve">5.2 Dynamic Allocation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Assets are selected and weighted using a threshold + squared-delta approach: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Step 1: Selection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threshold = bestCompositeScore × 0.60
qualifying = assets with score ≥ threshold
topAssets = qualifying[0..max(2, min(N, 7))]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Minimum 2 assets, maximum 7. All must score at least 60% of the best.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Step 2: Weighting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floor = worstQualifier.score × 0.8
deltaᵢ = max(0, scoreᵢ - floor)
weightᵢ = deltaᵢ² / Σ(deltaⱼ²)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Squaring the deltas amplifies differences: a small score gap produces a large allocation gap.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0F1117"/>
          <w:sz w:val="21"/>
          <w:szCs w:val="21"/>
        </w:rPr>
        <w:t xml:space="preserve">Example: </w:t>
      </w:r>
      <w:r>
        <w:rPr>
          <w:rFonts w:ascii="Inter" w:cs="Inter" w:eastAsia="Inter" w:hAnsi="Inter"/>
          <w:color w:val="52525B"/>
          <w:sz w:val="21"/>
          <w:szCs w:val="21"/>
        </w:rPr>
        <w:t xml:space="preserve">Scores 85 and 70, floor = 56. Deltas: 29 and 14. Weights: 29²/(29²+14²) = 81.1% and 18.9%.</w:t>
      </w:r>
    </w:p>
    <w:p>
      <w:pPr>
        <w:pStyle w:val="Heading2"/>
      </w:pPr>
      <w:r>
        <w:t xml:space="preserve">5.3 DRIP Projection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Each allocated asset is projected forward using Dividend Reinvestment Plan compounding: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Per Year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dpsₙ = dpsₙ₋₁ × (1 + CAGR)
incomeₙ = sharesₙ × dpsₙ
sharesₙ = sharesₙ₋₁ + (incomeₙ / price)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Price is held constant (conservative). Income grows via both dividend growth and share accumulation from reinvestment.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Yield on Cost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yieldOnCost = (annualIncomeₙ / initialInvestment) × 100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Reflects how much you earn relative to what you paid, not current price.</w:t>
      </w:r>
    </w:p>
    <w:p>
      <w:pPr>
        <w:pStyle w:val="Heading2"/>
      </w:pPr>
      <w:r>
        <w:t xml:space="preserve">5.4 Weiss Signal Integration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The Simulator imports the full 7-factor </w:t>
      </w:r>
      <w:r>
        <w:rPr>
          <w:rFonts w:ascii="Inter" w:cs="Inter" w:eastAsia="Inter" w:hAnsi="Inter"/>
          <w:b/>
          <w:bCs/>
          <w:color w:val="405BFF"/>
          <w:sz w:val="21"/>
          <w:szCs w:val="21"/>
        </w:rPr>
        <w:t xml:space="preserve">computeBuyScore</w:t>
      </w:r>
      <w:r>
        <w:rPr>
          <w:rFonts w:ascii="Inter" w:cs="Inter" w:eastAsia="Inter" w:hAnsi="Inter"/>
          <w:color w:val="52525B"/>
          <w:sz w:val="21"/>
          <w:szCs w:val="21"/>
        </w:rPr>
        <w:t xml:space="preserve"> from the Ranking engine server-side. This ensures the Weiss signal (Compra, Vigilar, etc.) displayed on each allocated asset exactly matches the Ranking page. The signal is computed from real cached analysis data, not simplified proxies.</w:t>
      </w:r>
    </w:p>
    <w:p>
      <w:pPr>
        <w:pBdr>
          <w:bottom w:val="single" w:color="E2E8F0" w:sz="1" w:space="8"/>
        </w:pBdr>
        <w:spacing w:after="200" w:before="200"/>
      </w:pPr>
    </w:p>
    <w:p>
      <w:pPr>
        <w:pStyle w:val="Heading1"/>
      </w:pPr>
      <w:r>
        <w:t xml:space="preserve">6. Portfolio Metrics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Aggregated metrics for the Portfolio view, calculated from position data and cached analysis.</w:t>
      </w:r>
    </w:p>
    <w:p>
      <w:pPr>
        <w:pStyle w:val="Heading2"/>
      </w:pPr>
      <w:r>
        <w:t xml:space="preserve">6.1 Per-Asset Metrics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Position Value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positionValue = currentPrice × shares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Annual Income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annualIncome = annualDivPerShare × shares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Yield on Cost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yieldOnCost = (annualDivPerShare / entryPrice) × 100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P&amp;L %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pnlPct = ((currentPrice - entryPrice) / entryPrice) × 100</w:t>
      </w:r>
    </w:p>
    <w:p>
      <w:pPr>
        <w:pStyle w:val="Heading2"/>
      </w:pPr>
      <w:r>
        <w:t xml:space="preserve">6.2 Portfolio Aggregates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Total Value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totalValue = Σ(positionValueᵢ)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Sum of all positioned assets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Total Annual Income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totalAnnualIncome = Σ(annualIncomeᵢ)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Weighted Yield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weightedYield = Σ(yieldOnCostᵢ × (positionValueᵢ / totalValue))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Value-weighted average, not simple arithmetic mean.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Total P&amp;L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totalPnlPct = ((totalValue - totalCost) / totalCost) × 100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Where totalCost = Σ(entryPriceᵢ × sharesᵢ), all converted to display currency.</w:t>
      </w:r>
    </w:p>
    <w:p>
      <w:pPr>
        <w:pStyle w:val="Heading2"/>
      </w:pPr>
      <w:r>
        <w:t xml:space="preserve">6.3 Portfolio Impact (Simulator)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The Simulator’s impact card compares current portfolio state (from usePortfolio) with the proposed allocation: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New Value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newValue = currentValue + investmentAmount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New Income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newIncome = currentIncome + allocationIncomeYear1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New Yield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newYield = (newIncome / newValue) × 100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05BFF"/>
          <w:sz w:val="20"/>
          <w:szCs w:val="20"/>
        </w:rPr>
        <w:t xml:space="preserve">Yield Delta</w:t>
      </w:r>
    </w:p>
    <w:p>
      <w:pPr>
        <w:shd w:fill="F0F4FF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yieldDelta = newYield - currentYield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A1A1AA"/>
          <w:sz w:val="18"/>
          <w:szCs w:val="18"/>
        </w:rPr>
        <w:t xml:space="preserve">Expressed in percentage points (pp)</w:t>
      </w:r>
    </w:p>
    <w:p>
      <w:pPr>
        <w:pBdr>
          <w:bottom w:val="single" w:color="E2E8F0" w:sz="1" w:space="8"/>
        </w:pBdr>
        <w:spacing w:after="200" w:before="200"/>
      </w:pPr>
    </w:p>
    <w:p>
      <w:pPr>
        <w:pStyle w:val="Heading1"/>
      </w:pPr>
      <w:r>
        <w:t xml:space="preserve">7. Currency Handling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Plazafolio supports multi-currency portfolios. Each asset’s native currency is detected from its market listing. The EUR/USD exchange rate is fetched via the /api/forex endpoint. All display values are converted to the user’s display currency using real-time rates. The conversion applies to: prices, dividends per share, position values, and income calculations. Entry prices are stored in native currency and converted at display time.</w:t>
      </w:r>
    </w:p>
    <w:p>
      <w:pPr>
        <w:pBdr>
          <w:bottom w:val="single" w:color="E2E8F0" w:sz="1" w:space="8"/>
        </w:pBdr>
        <w:spacing w:after="200" w:before="200"/>
      </w:pPr>
    </w:p>
    <w:p>
      <w:pPr>
        <w:pStyle w:val="Heading1"/>
      </w:pPr>
      <w:r>
        <w:t xml:space="preserve">8. AI Integration (Google Gemini)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Plazafolio optionally integrates Google Gemini for enhanced analytical capabilities: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0F1117"/>
          <w:sz w:val="21"/>
          <w:szCs w:val="21"/>
        </w:rPr>
        <w:t xml:space="preserve">SEC/ESEF Report Narratives: </w:t>
      </w:r>
      <w:r>
        <w:rPr>
          <w:rFonts w:ascii="Inter" w:cs="Inter" w:eastAsia="Inter" w:hAnsi="Inter"/>
          <w:color w:val="52525B"/>
          <w:sz w:val="21"/>
          <w:szCs w:val="21"/>
        </w:rPr>
        <w:t xml:space="preserve">Transforms raw financial filings (10-K, 10-Q, Annual Reports) into executive summaries. Extracts key metrics, risks, and management commentary.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0F1117"/>
          <w:sz w:val="21"/>
          <w:szCs w:val="21"/>
        </w:rPr>
        <w:t xml:space="preserve">Audio Summaries: </w:t>
      </w:r>
      <w:r>
        <w:rPr>
          <w:rFonts w:ascii="Inter" w:cs="Inter" w:eastAsia="Inter" w:hAnsi="Inter"/>
          <w:color w:val="52525B"/>
          <w:sz w:val="21"/>
          <w:szCs w:val="21"/>
        </w:rPr>
        <w:t xml:space="preserve">Converts narrative text to speech for hands-free consumption. Audio is cached to prevent redundant generation.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0F1117"/>
          <w:sz w:val="21"/>
          <w:szCs w:val="21"/>
        </w:rPr>
        <w:t xml:space="preserve">Earnings Call Briefs: </w:t>
      </w:r>
      <w:r>
        <w:rPr>
          <w:rFonts w:ascii="Inter" w:cs="Inter" w:eastAsia="Inter" w:hAnsi="Inter"/>
          <w:color w:val="52525B"/>
          <w:sz w:val="21"/>
          <w:szCs w:val="21"/>
        </w:rPr>
        <w:t xml:space="preserve">Extracts dividend-relevant insights from earnings call transcripts. Highlights management guidance on payouts, growth plans, and capital allocation.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0F1117"/>
          <w:sz w:val="21"/>
          <w:szCs w:val="21"/>
        </w:rPr>
        <w:t xml:space="preserve">Simulator Allocation Reasoning: </w:t>
      </w:r>
      <w:r>
        <w:rPr>
          <w:rFonts w:ascii="Inter" w:cs="Inter" w:eastAsia="Inter" w:hAnsi="Inter"/>
          <w:color w:val="52525B"/>
          <w:sz w:val="21"/>
          <w:szCs w:val="21"/>
        </w:rPr>
        <w:t xml:space="preserve">Provides natural-language explanation of why specific assets were selected and how capital was distributed, contextualizing the mechanical scoring.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0F1117"/>
          <w:sz w:val="21"/>
          <w:szCs w:val="21"/>
        </w:rPr>
        <w:t xml:space="preserve">Dividend Safety Context: </w:t>
      </w:r>
      <w:r>
        <w:rPr>
          <w:rFonts w:ascii="Inter" w:cs="Inter" w:eastAsia="Inter" w:hAnsi="Inter"/>
          <w:color w:val="52525B"/>
          <w:sz w:val="21"/>
          <w:szCs w:val="21"/>
        </w:rPr>
        <w:t xml:space="preserve">Adds qualitative grounding to the mechanical safety score when available.</w:t>
      </w:r>
    </w:p>
    <w:p>
      <w:pPr>
        <w:spacing w:after="120"/>
      </w:pPr>
      <w:r>
        <w:rPr>
          <w:rFonts w:ascii="Inter" w:cs="Inter" w:eastAsia="Inter" w:hAnsi="Inter"/>
          <w:color w:val="52525B"/>
          <w:sz w:val="21"/>
          <w:szCs w:val="21"/>
        </w:rPr>
        <w:t xml:space="preserve">All AI features are optional. The platform functions fully without a Gemini key, using only mechanical scoring and calculations.</w:t>
      </w:r>
    </w:p>
    <w:p>
      <w:pPr>
        <w:pBdr>
          <w:bottom w:val="single" w:color="E2E8F0" w:sz="1" w:space="8"/>
        </w:pBdr>
        <w:spacing w:after="200" w:before="200"/>
      </w:pPr>
    </w:p>
    <w:p>
      <w:pPr>
        <w:pStyle w:val="Heading1"/>
      </w:pPr>
      <w:r>
        <w:t xml:space="preserve">9. Glossary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CAGR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Compound Annual Growth Rate of dividend payments over time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DRIP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Dividend Reinvestment Plan — automatically reinvesting dividends to buy more shares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FCF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Free Cash Flow — cash generated after capital expenditures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Payout Ratio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Percentage of earnings or FCF paid out as dividends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Yield on Cost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Annual dividend income as percentage of original purchase price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Yield Ratio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Position of current yield within historical high/low channel (0 = low, 1 = high)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P97 / P3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97th and 3rd percentile of historical dividend yields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Dividend Aristocrat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Company with 25+ consecutive years of dividend increases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EV/EBITDA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Enterprise Value / Earnings Before Interest, Taxes, Depreciation &amp; Amortization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EV/FCF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Enterprise Value / Free Cash Flow — cash-flow-based valuation metric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Undervalued Price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Price at which the yield reaches historical highs (buy zone boundary)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</w:rPr>
              <w:t xml:space="preserve">Overvalued Price</w:t>
            </w:r>
          </w:p>
        </w:tc>
        <w:tc>
          <w:tcPr>
            <w:tcW w:type="dxa" w:w="65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52525B"/>
                <w:sz w:val="18"/>
                <w:szCs w:val="18"/>
              </w:rPr>
              <w:t xml:space="preserve">Price at which the yield drops to historical lows (sell zone boundary)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A1A1AA"/>
        <w:sz w:val="16"/>
        <w:szCs w:val="16"/>
      </w:rPr>
      <w:t xml:space="preserve">Page </w:t>
    </w:r>
    <w:r>
      <w:rPr>
        <w:rFonts w:ascii="Inter" w:cs="Inter" w:eastAsia="Inter" w:hAnsi="Inter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 w:space="6"/>
      </w:pBdr>
      <w:tabs>
        <w:tab w:val="right" w:pos="9026"/>
      </w:tabs>
    </w:pPr>
    <w:r>
      <w:rPr>
        <w:rFonts w:ascii="Inter" w:cs="Inter" w:eastAsia="Inter" w:hAnsi="Inter"/>
        <w:b/>
        <w:bCs/>
        <w:color w:val="A1A1AA"/>
        <w:spacing w:val="100"/>
        <w:sz w:val="16"/>
        <w:szCs w:val="16"/>
      </w:rPr>
      <w:t xml:space="preserve">PLAZAFOLIO</w:t>
    </w:r>
    <w:r>
      <w:rPr>
        <w:rFonts w:ascii="Inter" w:cs="Inter" w:eastAsia="Inter" w:hAnsi="Inter"/>
        <w:color w:val="A1A1AA"/>
        <w:sz w:val="16"/>
        <w:szCs w:val="16"/>
      </w:rPr>
      <w:t xml:space="preserve">	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Inter" w:cs="Inter" w:eastAsia="Inter" w:hAnsi="Inter"/>
      <w:b/>
      <w:bCs/>
      <w:color w:val="0F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Inter" w:cs="Inter" w:eastAsia="Inter" w:hAnsi="Inter"/>
      <w:b/>
      <w:bCs/>
      <w:color w:val="405B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Inter" w:cs="Inter" w:eastAsia="Inter" w:hAnsi="Inter"/>
      <w:b/>
      <w:bCs/>
      <w:color w:val="52525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009a8a86217940ddd454645635bc788a22ab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2026-04-07T15:19:22.941Z</dcterms:created>
  <dcterms:modified xsi:type="dcterms:W3CDTF">2026-04-07T15:19:22.942Z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