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acaso</w:t>
      </w:r>
      <w:r>
        <w:t xml:space="preserve"> = </w:t>
      </w:r>
      <w:r>
        <w:rPr>
          <w:i/>
          <w:color w:val="0066CC"/>
        </w:rPr>
        <w:t>chance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ano</w:t>
      </w:r>
      <w:r>
        <w:t xml:space="preserve"> = </w:t>
      </w:r>
      <w:r>
        <w:rPr>
          <w:i/>
          <w:color w:val="0066CC"/>
        </w:rPr>
        <w:t>year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