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before="20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AIP — Agent Internet Protocol</w:t>
            </w:r>
          </w:p>
          <w:p>
            <w:pPr>
              <w:spacing w:before="0" w:after="200"/>
              <w:jc w:val="left"/>
            </w:pPr>
            <w:r>
              <w:rPr>
                <w:rFonts w:ascii="Arial" w:cs="Arial" w:eastAsia="Arial" w:hAnsi="Arial"/>
                <w:color w:val="B5D4F4"/>
                <w:sz w:val="22"/>
                <w:szCs w:val="22"/>
              </w:rPr>
              <w:t xml:space="preserve">Especificação Técnica de Referência  |  Revisão 0.2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A0" w:sz="3"/>
              <w:left w:val="single" w:color="1A56A0" w:sz="8"/>
              <w:bottom w:val="single" w:color="1A56A0" w:sz="3"/>
              <w:right w:val="single" w:color="1A56A0" w:sz="3"/>
            </w:tcBorders>
            <w:shd w:fill="D6E8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Status: DRAFT — RFC aberto para comentários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Autores: José + contribuidores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Licença: Apache 2.0 / MIT dual-license (recomendado para protocolo aberto)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Repositório: github.com/jose/aip-spec  (sugerido)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Versão do documento: 0.2-draft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1. Introdução e Motivação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O AIP (Agent Internet Protocol) é uma proposta de protocolo aberto de camada de aplicação para comunicação, descoberta e negociação entre agentes de software autônomos. O objetivo é oferecer para agentes o que o HTTP ofereceu para documentos: uma linguagem comum, neutra de implementação, que permita interoperabilidade entre sistemas construídos por diferentes equipes em diferentes linguagens.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1.1 O Problema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Hoje, quando dois agentes de software precisam se comunicar, as opções são: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APIs REST proprietárias com formatos incompatíveis entre si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SDKs específicos por linguagem que criam lock-in de ecossistema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Mensageria via brokers centralizados (RabbitMQ, Kafka) que introduzem ponto único de falha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Sem nenhuma semântica de negociação, descoberta de capacidades ou reputação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1.2 A Solução Proposta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O AIP propõe uma stack de protocolo em camadas — análoga ao modelo OSI — onde cada camada tem responsabilidade única, pode ser substituída de forma independente, e é especificada em formato legível por máquina (JSON Schema) antes de qualquer implementação.</w:t>
      </w:r>
    </w:p>
    <w:p>
      <w:pPr>
        <w:spacing w:before="80" w:after="0"/>
      </w:pPr>
      <w:r>
        <w:t xml:space="preserve"/>
      </w:r>
    </w:p>
    <w:p>
      <w:pPr>
        <w:pBdr>
          <w:bottom w:val="single" w:color="CCCCCC" w:sz="4"/>
        </w:pBdr>
        <w:spacing w:before="200" w:after="2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2. Arquitetura em Camadas — Agent Internet Stack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A principal diferença de abordagem em relação a frameworks existentes é a separação estrita entre transporte, identidade, mensageria e semântica. Esta separação permite que cada camada evolua de forma independente e seja reimplementada em qualquer linguagem.</w:t>
      </w:r>
    </w:p>
    <w:p>
      <w:pPr>
        <w:spacing w:before="80" w:after="0"/>
      </w:pPr>
      <w:r>
        <w:t xml:space="preserve"/>
      </w:r>
    </w:p>
    <w:tbl>
      <w:tblPr>
        <w:tblW w:type="dxa" w:w="8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3200"/>
        <w:gridCol w:w="332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Protocolo/Padrão Subjacente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Conectividade TCP/UDP ponto a ponto, NAT traversal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libp2p QUIC + TCP, WebTransport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Identidade criptográfica, autenticação, assinaturas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DID:key, Ed25519, X25519 (ECDH)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Localização de peers e serviços na rede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Kademlia DHT + Gossipsub v1.1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Formato de mensagem, serialização, entrega garantida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AIP Message Format (JSON/CBOR)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Negotiation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Protocolo de negociação de tarefas e contratos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AIP Intent Protocol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Anúncio e consulta de capacidades dos agentes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AIP Capability Registry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Reputation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Scoring de confiança, filtragem de peers maliciosos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AIP Trust Graph (local-first)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Agentes, mercados, ferramentas, UIs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Qualquer implementação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4F0B" w:sz="3"/>
              <w:left w:val="single" w:color="854F0B" w:sz="8"/>
              <w:bottom w:val="single" w:color="854F0B" w:sz="3"/>
              <w:right w:val="single" w:color="854F0B" w:sz="3"/>
            </w:tcBorders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Regra de ouro: uma camada só pode depender das camadas abaixo dela.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L3 não conhece L4. L4 não conhece L5. Cada camada é testável de forma isolada.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Isso é o que permite múltiplas implementações independentes (Rust, Go, Python, JS).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CCCCCC" w:sz="4"/>
        </w:pBdr>
        <w:spacing w:before="200" w:after="2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3. L1 — Identity Layer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3.1 Formato de Identidade: DID:key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Cada agente é identificado por um DID (Decentralized Identifier) no método did:key, derivado de uma chave pública Ed25519. Isso garante que a identidade é autocontida: não depende de registro centralizado, CA, ou blockchain.</w:t>
      </w:r>
    </w:p>
    <w:p>
      <w:pPr>
        <w:spacing w:before="60" w:after="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Derivação do DID a partir de keypair Ed25519: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Geração do keypair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let keypair = Ed25519Keypair::generate(&amp;mut OsRng);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let pubkey_bytes = keypair.public.to_bytes();  // 32 bytes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Multicodec prefix para Ed25519: 0xed01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let mut multicodec = vec![0xed, 0x01];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multicodec.extend_from_slice(&amp;pubkey_bytes);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Base58btc encoding (prefixo 'z')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let did = format!("did:key:z{}", bs58::encode(multicodec).into_string());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Resultado: did:key:z6MkhaXgBZDvotDkL5257faiztiGiC2QtKLGpbnnEGta2doK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3.2 Algoritmos Criptográficos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2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Algoritmo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Tamanho da Chave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Assinatura de mensagens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Ed25519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 bytes (privada), 32 bytes (pública)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Rápido, seguro, amplo suporte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agreement (canal criptografado)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X25519 ECDH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 bytes cada parte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Forward secrecy por sessão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Hashing de conteúdo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SHA-256 / BLAKE3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256 bits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BLAKE3 para performance, SHA-256 para interop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Criptografia simétrica de payload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ChaCha20-Poly1305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256 bits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Preferível a AES em hardware sem AES-NI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ID / fingerprint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SHA-256 truncado (16 bytes)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 bits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Colisão improvável para TTL de 30s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3.3 Verificação de Assinatura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Toda mensagem AIP deve ser verificada pelo receptor antes de processamento. O campo signature cobre o payload serializado canonicamente (sem o campo signature em si):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Canonical payload = JSON serializado com chaves ordenadas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EXCLUINDO o campo "signature"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let canonical = serde_json::to_string(&amp;msg_without_signature)?;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let sig_bytes = hex::decode(&amp;msg.signature)?;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Derivar chave pública do DID do sender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let pubkey = did_to_pubkey(&amp;msg.sender)?;  // extrai multicodec, verifica prefixo 0xed01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Verificar assinatura Ed25519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pubkey.verify(canonical.as_bytes(), &amp;Signature::from_bytes(&amp;sig_bytes)?)?;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CCCCCC" w:sz="4"/>
        </w:pBdr>
        <w:spacing w:before="200" w:after="2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4. L3 — AIP Message Format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4.1 Estrutura Completa do Header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O envelope AIP v0.1 completo. Todos os campos são obrigatórios exceto onde indicado: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"aip_version":     "0.1",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"msg_id":          "01HXK...",       // ULID (sortable, collision-resistant)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"conversation_id": "uuid-v4",        // agrupa mensagens de uma negociação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"thread_id":       "uuid-v4",        // opcional: sub-thread dentro de conversa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"sender":          "did:key:z6Mk...",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"receiver":        "did:key:z6Mk...", // null = broadcast para topic gossip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"type":            "INTENT",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"ttl":             30,                // segundos; relay nodes descartam após expiração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"timestamp":       1710265540,        // Unix epoch UTC, segundos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"nonce":           "8 bytes hex",   // previne replay attacks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"payload_encoding": "json",         // json | cbor | msgpack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"payload_hash":    "sha256:abc...", // hash do payload antes de sign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"payload":         { ...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"signature":       "hex(Ed25519(canonical_header + payload_hash))"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4.2 Por que ULID em vez de UUID para msg_id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ULIDs são lexicograficamente ordenáveis por tempo de criação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Permitem range queries eficientes em bancos de dados (ex: NietzscheDB)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Mesma entropia que UUIDv4 (128 bits), sem colisão prática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Formato: 26 caracteres Crockford base32 — ex: 01ARZ3NDEKTSV4RRFFQ69G5FAV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4.3 Payload por Message Type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INTENT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"intent_type":  "task",    // task | query | auction | broadcast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"description":  "Analisar dataset de vendas Q4 e gerar relatório PDF",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"requirements":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"capabilities": ["dataset_analysis", "pdf_generation"],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"input_schema":  { "$ref": "aip://schemas/dataset-v1"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"output_schema": { "$ref": "aip://schemas/pdf-report-v1"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"constraints":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"deadline":    1710270000,   // Unix timestamp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"budget_max":  "0.50 USD",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"budget_currency": "usd"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"routing": "broadcast" // broadcast | direct | auction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PROPOSE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"intent_id":        "01HXK...",   // msg_id do INTENT original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"estimated_time_s": 45,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"price":            "0.30 USD",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"methodology":      "Texto livre descrevendo abordagem",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"agent_capabilities": ["dataset_analysis", "pdf_generation"],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"proof_of_capability": "did:key:z6Mk.../cap/hash",  // link verificável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"expires_at":        1710266000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COUNTER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"original_propose_id": "01HXK...",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"counter_price":        "0.35 USD",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"counter_deadline":     1710271000,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"reason":               "Escopo maior do que estimado inicialmente"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4441"/>
          <w:sz w:val="24"/>
          <w:szCs w:val="24"/>
        </w:rPr>
        <w:t xml:space="preserve">DELIVER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"conversation_id":  "uuid",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"content_type":     "application/pdf",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"content_hash":     "sha256:def456...",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"content_uri":      "ipfs://Qm...",     // IPFS / arweave / direct bytes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"content_bytes":    null,                 // inline se &lt; 64KB, senão usar URI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"delivery_proof":   "hex(Ed25519(content_hash + conversation_id))"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4.4 Tabela Completa de Message Types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3300"/>
        <w:gridCol w:w="20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Direção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Resposta Esperada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broadcast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Anuncia presença na rede, publica capabilities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Nenhuma ou DISCOVER de outros peers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broadcast ou direct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Expressa uma tarefa que o agente quer delegar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PROPOSE, DECLINE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Oferta de execução com preço, prazo e metodologia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ACCEPT, COUNTER, DECLINE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Contraproposta com termos alternativos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ACCEPT, COUNTER, DECLINE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Aceita proposta/contraproposta — cria contrato implícito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Execução começa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Recusa com reason code opcional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Nenhuma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Cancela negociação ou execução em andamento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RECEIPT de confirmação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Entrega resultado com hash e URI do conteúdo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RECEIPT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Confirmação de recebimento + avaliação de qualidade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Nenhuma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CAPABILITY_ADVERTISE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broadcast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Anuncia capacidades do agente com schema JSON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Nenhuma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CAPABILITY_QUERY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ou broadcast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 quem tem determinada capability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CAPABILITY_ADVERTISE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HEARTBEAT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broadcast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Prova de liveness, TTL curto (ex: 10s)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Nenhuma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 de protocolo ou execução com código estruturado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Nenhuma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CCCCCC" w:sz="4"/>
        </w:pBdr>
        <w:spacing w:before="200" w:after="2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5. L2 — Discovery Layer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5.1 Arquitetura Híbrida de Descoberta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A descoberta em redes P2P tem o problema clássico do cold start: o primeiro nó a entrar não encontra ninguém. A solução é uma abordagem em três camadas: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Discovery Stack: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1. Bootstrap Peers  →  entrada inicial hardcoded/configurável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2. Kademlia DHT     →  roteamento e localização de recursos (O(log n))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3. Gossipsub v1.1   →  propagação de mensagens broadcast por tópicos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Fluxo de entrada de um novo agente: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agent start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└─ dial bootstrap_peers (mínimo 3 endereços conhecidos)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└─ libp2p identify protocol (trocar peer IDs e endereços)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└─ Kademlia bootstrap (popular routing table local)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└─ Gossipsub subscribe ("aip/discover", "aip/intent")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└─ DISCOVER broadcast (anunciar capabilities)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    └─ pronto para receber INTENTs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5.2 Kademlia DHT — Detalhes Técnicos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O protocolo Kademlia usa uma métrica de distância XOR entre IDs de 256 bits. Cada nó mantém uma k-bucket routing table onde k=20 (padrão BitTorrent/IPFS).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Lookup de peer: O(log₂ n) round trips para rede de n nós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Replicação de records: fator k=20 garante sobrevivência mesmo com alta churn rate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Provider records expiram após 24h — agentes devem re-publicar suas capabilities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Record key para capabilities: SHA-256('aip-cap-v1:' + capability_name)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Publicar capability no DHT (Rust + rust-libp2p)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let cap_key = Key::new(&amp;sha256(b"aip-cap-v1:dataset_analysis"));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swarm.behaviour_mut().kademlia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.start_providing(cap_key)?;  // anuncia que este peer fornece este serviço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Buscar agentes com uma capability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let key = Key::new(&amp;sha256(b"aip-cap-v1:pdf_generation"));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swarm.behaviour_mut().kademlia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.get_providers(key);  // retorna lista de PeerIds via evento GetProvidersOk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5.3 Gossipsub v1.1 — Tópicos e Parâmetros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1200"/>
        <w:gridCol w:w="1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Tópico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Mensagem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 Max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Fan-out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aip/discover/v1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DISCOVER, CAPABILITY_ADVERTISE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peers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aip/intent/v1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 (broadcast)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peers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aip/heartbeat/v1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HEARTBEAT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peers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aip/region/{geo}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 filtrado por região geográfica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peers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Parâmetros recomendados de Gossipsub para rede AIP: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GossipsubConfigBuilder::default()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.heartbeat_interval(Duration::from_secs(1))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.mesh_n(6)           // tamanho alvo do mesh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.mesh_n_low(4)       // mínimo antes de adicionar peers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.mesh_n_high(12)     // máximo antes de remover peers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.gossip_lazy(6)      // peers para gossip fora do mesh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.history_length(5)   // janelas de heartbeat para deduplicação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.history_gossip(3)   // janelas enviadas em IHAVE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.build()?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CCCCCC" w:sz="4"/>
        </w:pBdr>
        <w:spacing w:before="200" w:after="2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6. L5 — Capability Discovery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6.1 Formato de Anúncio de Capabilities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Capabilities são anunciadas com schema JSON que permite validação automática de inputs e outputs. Isso cria um contrato verificável antes da negociação começar: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"agent_id":   "did:key:z6Mk...",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"version":    "0.1",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"advertised_at": 1710265540,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"expires_at":    1710352000,  // ~24h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"capabilities":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"name":        "dataset_analysis",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"version":     "2.1.0",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"description": "Analisa datasets CSV/Parquet, gera estatísticas e visualizações",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"input_schema":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"type": "object",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"properties":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"file_uri": { "type": "string", "format": "uri"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"format":   { "enum": ["csv", "parquet", "json"]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"required": ["file_uri"]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"output_schema":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"type": "object",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"properties":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"summary":     { "type": "string"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"chart_uris":  { "type": "array", "items": { "type": "string" }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"pricing":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"model":     "per_mb",  // per_mb | flat | per_second | auction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"base_cost": "0.001 USD",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"unit":      "MB de input"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"sla":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"avg_latency_ms":  2000,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"max_latency_ms":  10000,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"availability":    0.99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6.2 Capability Namespacing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Para evitar colisões de nomes em rede aberta, capabilities seguem um namespace hierárquico: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Formato:  {domínio}/{categoria}/{nome}:{versão}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Exemplos: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aip.core/data/csv-analysis:1.0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aip.core/text/translation:2.3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org.openai/vision/image-description:gpt4v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com.mycompany/finance/tax-calculation:br-2024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Capabilities sem namespace são tratadas como experimentais 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não indexadas no DHT global.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CCCCCC" w:sz="4"/>
        </w:pBdr>
        <w:spacing w:before="200" w:after="2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7. L6 — Reputation Layer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7.1 Modelo de Trust Score Local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A camada de reputação é deliberadamente local-first: cada agente mantém seu próprio grafo de confiança, sem necessidade de consenso global ou blockchain. Isso é suficiente para a fase inicial e evita problemas de sybil attacks em escala.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Estrutura do trust record por agente conhecido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struct TrustRecord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agent_id:              DID,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interactions_total:    u64,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deliveries_successful: u64,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deliveries_late:       u64,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deliveries_failed:     u64,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avg_latency_ms:        f64,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signature_failures:    u64,   // assinaturas inválidas = ban imediato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last_seen:             UnixTimestamp,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trust_score:           f32,   // 0.0 a 1.0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manual_block:          bool,  // banimento manual pelo operador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7.2 Algoritmo de Cálculo do Trust Score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O score é uma média ponderada exponencialmente decaída, com penalizações duras para comportamentos maliciosos: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fn compute_trust_score(r: &amp;TrustRecord) -&gt; f32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Ban imediato: qualquer falha de assinatura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r.signature_failures &gt; 0 { return 0.0;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let delivery_rate = r.deliveries_successful as f32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/ r.interactions_total.max(1) as f32;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let latency_score = if r.avg_latency_ms &lt; 1000.0 { 1.0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else { 1.0 / (r.avg_latency_ms / 1000.0) 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let failure_penalty = (r.deliveries_failed as f32 * 0.1)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 .min(0.5);  // máximo 50% de penalização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Decay temporal: score perde 10% por dia de inatividade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let days_inactive = (now() - r.last_seen) / 86400;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let decay = 0.9_f32.powi(days_inactive as i32);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((delivery_rate * 0.5 + latency_score * 0.3 + 0.2) - failure_penalty)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.max(0.0).min(1.0) * decay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7.3 Limites de Filtragem</w:t>
      </w:r>
    </w:p>
    <w:tbl>
      <w:tblPr>
        <w:tblW w:type="dxa" w:w="79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12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Trust Score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 do Agente Local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Banido: mensagens ignoradas silenciosamente, PeerID na blocklist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 — 0.3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Desconfiável: aceita apenas mensagens assinadas, sem delegação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 — 0.6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Neutro: interações normais, monitoramento ativo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 — 0.85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Confiável: aceita propostas sem verificação extra de credentials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0.85 — 1.0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Muito confiável: parceiro preferencial em auctions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CCCCCC" w:sz="4"/>
        </w:pBdr>
        <w:spacing w:before="200" w:after="2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8. Roadmap Técnico por Fase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Fase 0 — RFC Público (0–4 semanas)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Publicar a especificação antes do código. Isso atrai revisores externos e impede que a implementação Rust se torne o padrão de fato apenas por ser a primeira.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Repositório aip-spec no GitHub com este documento em Markdown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JSON Schema de todas as mensagens em /schemas/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Exemplos de mensagens válidas e inválidas para test fixtures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CONTRIBUTING.md e processo de RFC para extensões (estilo IETF simplificado)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Issue tracker aberto para discussão de cada seção do protocolo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Fase 1 — Transport + Identity (4–8 semanas)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Objetivo: dois agentes descobrem um ao outro e trocam mensagens assinadas.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Crates Rust necessárias: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libp2p = { version = "0.53", features = ["tcp", "quic", "identify",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"kad", "gossipsub", "noise", "yamux"]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ed25519-dalek = "2.1"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x25519-dalek  = "2.0"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did-key       = "0.2"   // ou implementar did:key manualmente (simples)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ulid          = "1.1"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serde_json    = "1.0"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Deliverable: binary 'aip-node' que: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1. Gera ou carrega keypair de disco (~/.aip/identity.key)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2. Sobe libp2p swarm em 0.0.0.0:0 (porta aleatória ou configurável)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3. Conecta a bootstrap peers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4. Assina e verifica mensagens AIP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5. Passa test suite de protocol conformance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Fase 2 — Messaging Layer (8–14 semanas)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Objetivo: troca de mensagens DISCOVER, INTENT, PROPOSE, ACCEPT, DELIVER, RECEIPT com todas as validações.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Parser e validador de AIP Message Format (JSON Schema validation)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Replay attack prevention via nonce deduplication com janela de 60s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TTL enforcement: mensagens com timestamp &gt; ttl são descartadas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Message routing: direct (via peer ID) e broadcast (via gossipsub topic)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Test suite com ≥ 80% de cobertura de branches do protocolo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Fase 3 — Intent Protocol (14–22 semanas)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Objetivo: dois agentes negociam e completam uma tarefa do início ao fim.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State machine de negociação: INTENT → PROPOSE → ACCEPT/COUNTER → DELIVER → RECEIPT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Timeout handling: PROPOSE expira se não respondido em deadline configurável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Conversation tracking via conversation_id em armazenamento local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 de referência: aip send-intent, aip list-proposals, aip accept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Fase 4 — Capability Discovery (22–30 semanas)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Objetivo: agentes encontram quem pode executar uma tarefa sem conhecimento prévio.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CAPABILITY_ADVERTISE publicado no DHT com provider records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CAPABILITY_QUERY via DHT lookup + gossip fallback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Capability schema validation antes de enviar INTENT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Capability versioning e compatibilidade semântica (semver)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Fase 5 — Reputation Layer (30–38 semanas)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TrustRecord persistido em embedded DB (sled ou RocksDB)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Score computation após cada RECEIPT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Peer filtering no routing layer baseado em trust_score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Export/import de trust graphs entre agentes conhecidos (bootstrap de reputação)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Fase 6 — Integration + SDK (38–52 semanas)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aip-js: implementação JavaScript/TypeScript do protocolo (para browsers e Node.js)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aip-python: bindings Python (para agents baseados em LangChain, CrewAI,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Integração com NietzscheDB como storage layer para histórico de conversas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WebTransport support para agentes rodando em browsers</w:t>
      </w:r>
    </w:p>
    <w:p>
      <w:pPr>
        <w:spacing w:before="80" w:after="0"/>
      </w:pPr>
      <w:r>
        <w:t xml:space="preserve"/>
      </w:r>
    </w:p>
    <w:p>
      <w:pPr>
        <w:pBdr>
          <w:bottom w:val="single" w:color="CCCCCC" w:sz="4"/>
        </w:pBdr>
        <w:spacing w:before="200" w:after="2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9. Estratégia de Interoperabilidade e Padrão Aberto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9.1 Separação Spec / Implementação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O erro fatal de projetos como gRPC e Thrift foi tornar a implementação de referência inseparável da especificação. O AIP deve seguir o modelo HTTP/SMTP: a spec é um documento de texto, implementações são código independente.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Repositórios separados: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github.com/aip-protocol/aip-spec      ← texto, schemas, RFCs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github.com/aip-protocol/aip-rust       ← implementação Rust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github.com/aip-protocol/aip-js         ← implementação TypeScript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github.com/aip-protocol/aip-python     ← implementação Python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github.com/aip-protocol/aip-conformance ← test suite compartilhada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9.2 Serialização Agnóstica de Linguagem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O protocolo suporta três formatos de serialização, todos com a mesma semântica: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160"/>
        <w:gridCol w:w="18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MIME type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Recomendado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Tamanho Relativo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application/aip+json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Debug, APIs web, compatibilidade máxima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1x (baseline)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CBOR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application/aip+cbor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Produção, IoT, baixa latência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~0.6x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MessagePack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application/aip+msgpack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Alternativa ao CBOR, amplo suporte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~0.65x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32D2D" w:sz="3"/>
              <w:left w:val="single" w:color="A32D2D" w:sz="8"/>
              <w:bottom w:val="single" w:color="A32D2D" w:sz="3"/>
              <w:right w:val="single" w:color="A32D2D" w:sz="3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Nunca use structs internas de Rust como wire format.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Nunca use Protocol Buffers como único formato (impede implementações sem .proto tooling).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 campo payload_encoding no header indica qual formato foi usado no payload.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C2C2A"/>
          <w:sz w:val="28"/>
          <w:szCs w:val="28"/>
        </w:rPr>
        <w:t xml:space="preserve">9.3 Evolução do Protocolo — RFC Process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Extensões ao protocolo são propostas como AIP Improvement Proposals (AIPs), numeradas sequencialmente: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AIP-1: Core Messaging          (este documento)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AIP-2: Discovery               (DHT + Gossipsub spec)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AIP-3: Negotiation Protocol    (state machine formal)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AIP-4: Capability Registry     (schema + namespacing)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AIP-5: Reputation Layer        (algoritmo de scoring)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AIP-6: Payment Channels        (micro-pagamentos opcionais)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AIP-7: Agent Delegation        (sub-agentes com escopo limitado)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CCCCCC" w:sz="4"/>
        </w:pBdr>
        <w:spacing w:before="200" w:after="2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10. Checklist para Virar Padrão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0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Criticidade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Especificação separada do código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Pendente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Crítica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Publicar aip-spec antes de qualquer PR de código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Schema de todas as mensagens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Pendente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Permite geração de parsers em qualquer linguagem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Separação clara de camadas L0–L7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Especificado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Crítica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misturar transport com semântica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ULID em vez de UUID para msg_id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Especificado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Permite range queries eficientes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conversation_id para multi-turn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Especificado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Essencial para negociações complexas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TTL + nonce para anti-replay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Especificado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Previne flooding e replay attacks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Capability discovery via DHT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Especificado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isso é apenas messaging, não protocolo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Reputation layer local-first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Especificado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reputação a rede vira spam em dias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Implementação JS/Python além de Rust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Planejado (Fase 6)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Crítica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multi-linguagem não é protocolo, é framework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Conformance test suite pública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Pendente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Permite certificar implementações de terceiros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RFC aberto para extensões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Pendente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Governança aberta é pré-requisito para adoção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00" w:after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AIP Specification — Draft 0.2 — Sujeito a revisão por RFC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2026-03-12T17:52:17.852Z</dcterms:created>
  <dcterms:modified xsi:type="dcterms:W3CDTF">2026-03-12T17:52:17.853Z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