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rPr>
          <w:rFonts w:ascii="Times New Roman" w:cs="Times New Roman" w:eastAsia="Times New Roman" w:hAnsi="Times New Roman"/>
          <w:b w:val="false"/>
          <w:bCs w:val="false"/>
          <w:i w:val="false"/>
          <w:iCs w:val="false"/>
          <w:color w:val="000000"/>
          <w:sz w:val="22"/>
          <w:szCs w:val="22"/>
        </w:rPr>
        <w:t xml:space="preserve"/>
      </w:r>
    </w:p>
    <w:p>
      <w:pPr>
        <w:spacing w:before="0" w:after="60"/>
        <w:jc w:val="center"/>
      </w:pPr>
      <w:r>
        <w:rPr>
          <w:rFonts w:ascii="Arial" w:cs="Arial" w:eastAsia="Arial" w:hAnsi="Arial"/>
          <w:b/>
          <w:bCs/>
          <w:color w:val="1A2E4A"/>
          <w:sz w:val="48"/>
          <w:szCs w:val="48"/>
        </w:rPr>
        <w:t xml:space="preserve">The Static Benchmark Trap:</w:t>
      </w:r>
    </w:p>
    <w:p>
      <w:pPr>
        <w:spacing w:before="0" w:after="80"/>
        <w:jc w:val="center"/>
      </w:pPr>
      <w:r>
        <w:rPr>
          <w:rFonts w:ascii="Arial" w:cs="Arial" w:eastAsia="Arial" w:hAnsi="Arial"/>
          <w:color w:val="555555"/>
          <w:sz w:val="32"/>
          <w:szCs w:val="32"/>
        </w:rPr>
        <w:t xml:space="preserve">Evaluating Generative Intelligence and the Cost of Plasticity</w:t>
      </w:r>
    </w:p>
    <w:p>
      <w:pPr>
        <w:spacing w:before="0" w:after="200"/>
        <w:jc w:val="center"/>
      </w:pPr>
      <w:r>
        <w:rPr>
          <w:rFonts w:ascii="Arial" w:cs="Arial" w:eastAsia="Arial" w:hAnsi="Arial"/>
          <w:b/>
          <w:bCs/>
          <w:color w:val="C0392B"/>
          <w:sz w:val="32"/>
          <w:szCs w:val="32"/>
        </w:rPr>
        <w:t xml:space="preserve">in Dynamic Graphs</w:t>
      </w:r>
    </w:p>
    <w:p>
      <w:pPr>
        <w:pBdr>
          <w:bottom w:val="single" w:color="DDDDDD" w:sz="4" w:space="4"/>
        </w:pBdr>
        <w:spacing w:before="0" w:after="60"/>
        <w:jc w:val="center"/>
      </w:pPr>
      <w:r>
        <w:rPr>
          <w:rFonts w:ascii="Arial" w:cs="Arial" w:eastAsia="Arial" w:hAnsi="Arial"/>
          <w:i/>
          <w:iCs/>
          <w:color w:val="888888"/>
          <w:sz w:val="20"/>
          <w:szCs w:val="20"/>
        </w:rPr>
        <w:t xml:space="preserve">Jose R. F. Junior · Under Review — NeurIPS 2026</w:t>
      </w:r>
    </w:p>
    <w:p>
      <w:pPr>
        <w:spacing w:before="160" w:after="0"/>
      </w:pPr>
      <w:r>
        <w:rPr>
          <w:rFonts w:ascii="Times New Roman" w:cs="Times New Roman" w:eastAsia="Times New Roman" w:hAnsi="Times New Roman"/>
          <w:b w:val="false"/>
          <w:bCs w:val="false"/>
          <w:i w:val="false"/>
          <w:iCs w:val="false"/>
          <w:color w:val="000000"/>
          <w:sz w:val="22"/>
          <w:szCs w:val="22"/>
        </w:rPr>
        <w:t xml:space="preserve"/>
      </w:r>
    </w:p>
    <w:p>
      <w:pPr>
        <w:spacing w:before="0" w:after="60"/>
        <w:jc w:val="center"/>
      </w:pPr>
      <w:r>
        <w:rPr>
          <w:rFonts w:ascii="Arial" w:cs="Arial" w:eastAsia="Arial" w:hAnsi="Arial"/>
          <w:b/>
          <w:bCs/>
          <w:color w:val="1A2E4A"/>
          <w:sz w:val="24"/>
          <w:szCs w:val="24"/>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8"/>
              <w:left w:val="thick" w:color="1A2E4A" w:sz="28"/>
              <w:bottom w:val="single" w:color="CCCCCC" w:sz="2"/>
              <w:right w:val="none" w:color="FFFFFF" w:sz="0"/>
            </w:tcBorders>
            <w:shd w:fill="F0F4FA"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i/>
                <w:iCs/>
                <w:color w:val="222222"/>
                <w:sz w:val="22"/>
                <w:szCs w:val="22"/>
              </w:rPr>
              <w:t xml:space="preserve">Graph Neural Network evaluation has historically depended on static metrics (AUC, node classification accuracy) applied to frozen topologies. We demonstrate that this methodology introduces a systematic bias in dynamic generative graph systems: it rewards topological inertia and severely penalizes coherent structural expansion. Through NietzscheDB, a thermodynamic agency engine in hyperbolic space, we empirically isolate the Plasticity Tax — the phenomenon where generative intelligence causes short-term Laplacian smoothing collapse. We propose a corrective evaluation framework (age-conditioned synthetic AUC, consolidation windows, and the Cognitive Yield metric Yₓ) and prove that under correct measurement, models that actively rewrite their topologies (TGC &gt; 0) achieve near-perfect geometric coherence (AUC_synth = 0.975), outperform destructive models post-consolidation (+54% NCA), and dominate on Cognitive Yield (Yₓ: Normal = 0.230 vs. Off = 0.000 vs. Inverted ≈ 0.022). Passive baselines score exactly zero on Yₓ by construction. We introduce the Orthogonal Evaluation Framework: five irreducible metric axes whose joint application fully characterizes a generative graph system, and prove that no single axis subsumes the others.</w:t>
            </w:r>
          </w:p>
        </w:tc>
      </w:tr>
    </w:tbl>
    <w:p>
      <w:pPr>
        <w:spacing w:before="200" w:after="0"/>
      </w:pPr>
      <w:r>
        <w:rPr>
          <w:rFonts w:ascii="Times New Roman" w:cs="Times New Roman" w:eastAsia="Times New Roman" w:hAnsi="Times New Roman"/>
          <w:b w:val="false"/>
          <w:bCs w:val="false"/>
          <w:i w:val="false"/>
          <w:iCs w:val="false"/>
          <w:color w:val="000000"/>
          <w:sz w:val="22"/>
          <w:szCs w:val="22"/>
        </w:rPr>
        <w:t xml:space="preserve"/>
      </w:r>
    </w:p>
    <w:p>
      <w:pPr>
        <w:pStyle w:val="Heading1"/>
        <w:pBdr>
          <w:bottom w:val="single" w:color="1A2E4A" w:sz="6" w:space="3"/>
        </w:pBdr>
        <w:spacing w:before="360" w:after="120"/>
      </w:pPr>
      <w:r>
        <w:rPr>
          <w:rFonts w:ascii="Arial" w:cs="Arial" w:eastAsia="Arial" w:hAnsi="Arial"/>
          <w:b/>
          <w:bCs/>
          <w:color w:val="1A2E4A"/>
          <w:sz w:val="26"/>
          <w:szCs w:val="26"/>
        </w:rPr>
        <w:t xml:space="preserve">1. Introduction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graph machine learning community evaluates systems against a fixed test split derived from a static snapshot of a graph. This methodology assumes a closed world: nodes are fixed, edges are fixed, and the model’s task is to recover withheld structure. For static encoders, this is internally consistent.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For generative graph systems — architectures that </w:t>
      </w:r>
      <w:r>
        <w:rPr>
          <w:rFonts w:ascii="Times New Roman" w:cs="Times New Roman" w:eastAsia="Times New Roman" w:hAnsi="Times New Roman"/>
          <w:b w:val="false"/>
          <w:bCs w:val="false"/>
          <w:i/>
          <w:iCs/>
          <w:color w:val="000000"/>
          <w:sz w:val="22"/>
          <w:szCs w:val="22"/>
        </w:rPr>
        <w:t xml:space="preserve">synthesize</w:t>
      </w:r>
      <w:r>
        <w:rPr>
          <w:rFonts w:ascii="Times New Roman" w:cs="Times New Roman" w:eastAsia="Times New Roman" w:hAnsi="Times New Roman"/>
          <w:b w:val="false"/>
          <w:bCs w:val="false"/>
          <w:i w:val="false"/>
          <w:iCs w:val="false"/>
          <w:color w:val="000000"/>
          <w:sz w:val="22"/>
          <w:szCs w:val="22"/>
        </w:rPr>
        <w:t xml:space="preserve"> new nodes and edges as a cognitive act — this assumption is catastrophically violated. The graph at evaluation time is not the graph at training time. The embedding space has been reorganized. New semantic structure has been created. And the static benchmark penalizes all of this.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We call this the </w:t>
      </w:r>
      <w:r>
        <w:rPr>
          <w:rFonts w:ascii="Times New Roman" w:cs="Times New Roman" w:eastAsia="Times New Roman" w:hAnsi="Times New Roman"/>
          <w:b/>
          <w:bCs/>
          <w:i w:val="false"/>
          <w:iCs w:val="false"/>
          <w:color w:val="000000"/>
          <w:sz w:val="22"/>
          <w:szCs w:val="22"/>
        </w:rPr>
        <w:t xml:space="preserve">Static Benchmark Trap</w:t>
      </w:r>
      <w:r>
        <w:rPr>
          <w:rFonts w:ascii="Times New Roman" w:cs="Times New Roman" w:eastAsia="Times New Roman" w:hAnsi="Times New Roman"/>
          <w:b w:val="false"/>
          <w:bCs w:val="false"/>
          <w:i w:val="false"/>
          <w:iCs w:val="false"/>
          <w:color w:val="000000"/>
          <w:sz w:val="22"/>
          <w:szCs w:val="22"/>
        </w:rPr>
        <w:t xml:space="preserve">. Its most pernicious effect is the inversion of performance rankings: the most cognitively inert condition — generating structurally isolated foam that never perturbs the original graph — achieves the highest scores on classical metrics. The most intelligent condition — elite-anchored synthesis building semantic bridges — achieves the lowest.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We resolve this through three contributions: (1) the </w:t>
      </w:r>
      <w:r>
        <w:rPr>
          <w:rFonts w:ascii="Times New Roman" w:cs="Times New Roman" w:eastAsia="Times New Roman" w:hAnsi="Times New Roman"/>
          <w:b/>
          <w:bCs/>
          <w:i w:val="false"/>
          <w:iCs w:val="false"/>
          <w:color w:val="000000"/>
          <w:sz w:val="22"/>
          <w:szCs w:val="22"/>
        </w:rPr>
        <w:t xml:space="preserve">Plasticity Tax</w:t>
      </w:r>
      <w:r>
        <w:rPr>
          <w:rFonts w:ascii="Times New Roman" w:cs="Times New Roman" w:eastAsia="Times New Roman" w:hAnsi="Times New Roman"/>
          <w:b w:val="false"/>
          <w:bCs w:val="false"/>
          <w:i w:val="false"/>
          <w:iCs w:val="false"/>
          <w:color w:val="000000"/>
          <w:sz w:val="22"/>
          <w:szCs w:val="22"/>
        </w:rPr>
        <w:t xml:space="preserve"> formalization; (2) an age-filtered, foam-immune evaluation protocol; and (3) the </w:t>
      </w:r>
      <w:r>
        <w:rPr>
          <w:rFonts w:ascii="Times New Roman" w:cs="Times New Roman" w:eastAsia="Times New Roman" w:hAnsi="Times New Roman"/>
          <w:b/>
          <w:bCs/>
          <w:i w:val="false"/>
          <w:iCs w:val="false"/>
          <w:color w:val="000000"/>
          <w:sz w:val="22"/>
          <w:szCs w:val="22"/>
        </w:rPr>
        <w:t xml:space="preserve">Cognitive Yield (Yₓ)</w:t>
      </w:r>
      <w:r>
        <w:rPr>
          <w:rFonts w:ascii="Times New Roman" w:cs="Times New Roman" w:eastAsia="Times New Roman" w:hAnsi="Times New Roman"/>
          <w:b w:val="false"/>
          <w:bCs w:val="false"/>
          <w:i w:val="false"/>
          <w:iCs w:val="false"/>
          <w:color w:val="000000"/>
          <w:sz w:val="22"/>
          <w:szCs w:val="22"/>
        </w:rPr>
        <w:t xml:space="preserve"> metric, which mathematically eliminates passive baselines from the competitive space by requiring generative contribution as a prerequisite for scoring.</w:t>
      </w:r>
    </w:p>
    <w:p>
      <w:pPr>
        <w:pStyle w:val="Heading2"/>
        <w:spacing w:before="240" w:after="80"/>
      </w:pPr>
      <w:r>
        <w:rPr>
          <w:rFonts w:ascii="Arial" w:cs="Arial" w:eastAsia="Arial" w:hAnsi="Arial"/>
          <w:b/>
          <w:bCs/>
          <w:color w:val="1A2E4A"/>
          <w:sz w:val="23"/>
          <w:szCs w:val="23"/>
        </w:rPr>
        <w:t xml:space="preserve">1.1 Three Core Claims</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Invalidation of absolute ground truth:</w:t>
      </w:r>
      <w:r>
        <w:rPr>
          <w:rFonts w:ascii="Times New Roman" w:cs="Times New Roman" w:eastAsia="Times New Roman" w:hAnsi="Times New Roman"/>
          <w:b w:val="false"/>
          <w:bCs w:val="false"/>
          <w:i w:val="false"/>
          <w:iCs w:val="false"/>
          <w:color w:val="000000"/>
          <w:sz w:val="22"/>
          <w:szCs w:val="22"/>
        </w:rPr>
        <w:t xml:space="preserve"> evaluating generated edges (E</w:t>
      </w:r>
      <w:r>
        <w:rPr>
          <w:rFonts w:ascii="Times New Roman" w:cs="Times New Roman" w:eastAsia="Times New Roman" w:hAnsi="Times New Roman"/>
          <w:b w:val="false"/>
          <w:bCs w:val="false"/>
          <w:i w:val="false"/>
          <w:iCs w:val="false"/>
          <w:color w:val="000000"/>
          <w:sz w:val="22"/>
          <w:szCs w:val="22"/>
          <w:vertAlign w:val="subscript"/>
        </w:rPr>
        <w:t xml:space="preserve">gen</w:t>
      </w:r>
      <w:r>
        <w:rPr>
          <w:rFonts w:ascii="Times New Roman" w:cs="Times New Roman" w:eastAsia="Times New Roman" w:hAnsi="Times New Roman"/>
          <w:b w:val="false"/>
          <w:bCs w:val="false"/>
          <w:i w:val="false"/>
          <w:iCs w:val="false"/>
          <w:color w:val="000000"/>
          <w:sz w:val="22"/>
          <w:szCs w:val="22"/>
        </w:rPr>
        <w:t xml:space="preserve">) against frozen negative pairs tests node ontogenetic maturity, not reasoning coherence. Introduction of age filter (τ=3) cures this.</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Measurement of the Plasticity Tax:</w:t>
      </w:r>
      <w:r>
        <w:rPr>
          <w:rFonts w:ascii="Times New Roman" w:cs="Times New Roman" w:eastAsia="Times New Roman" w:hAnsi="Times New Roman"/>
          <w:b w:val="false"/>
          <w:bCs w:val="false"/>
          <w:i w:val="false"/>
          <w:iCs w:val="false"/>
          <w:color w:val="000000"/>
          <w:sz w:val="22"/>
          <w:szCs w:val="22"/>
        </w:rPr>
        <w:t xml:space="preserve"> demonstrating the transitional NCA dip during generation (κ=2 new edges/cycle), and proving via consolidation window analysis that this represents recoverable plasticity, not structural damage.</w:t>
      </w:r>
    </w:p>
    <w:p>
      <w:pPr>
        <w:pStyle w:val="ListParagraph"/>
        <w:numPr>
          <w:ilvl w:val="0"/>
          <w:numId w:val="2"/>
        </w:numPr>
        <w:spacing w:before="60" w:after="60" w:line="270"/>
      </w:pPr>
      <w:r>
        <w:rPr>
          <w:rFonts w:ascii="Times New Roman" w:cs="Times New Roman" w:eastAsia="Times New Roman" w:hAnsi="Times New Roman"/>
          <w:b/>
          <w:bCs/>
          <w:i w:val="false"/>
          <w:iCs w:val="false"/>
          <w:color w:val="000000"/>
          <w:sz w:val="22"/>
          <w:szCs w:val="22"/>
        </w:rPr>
        <w:t xml:space="preserve">Formal separation of inertia and intelligence:</w:t>
      </w:r>
      <w:r>
        <w:rPr>
          <w:rFonts w:ascii="Times New Roman" w:cs="Times New Roman" w:eastAsia="Times New Roman" w:hAnsi="Times New Roman"/>
          <w:b w:val="false"/>
          <w:bCs w:val="false"/>
          <w:i w:val="false"/>
          <w:iCs w:val="false"/>
          <w:color w:val="000000"/>
          <w:sz w:val="22"/>
          <w:szCs w:val="22"/>
        </w:rPr>
        <w:t xml:space="preserve"> the Cognitive Yield metric Yₓ renders passive baselines (Off mode) mathematically inert while preserving full scoring capacity for generative systems.</w:t>
      </w:r>
    </w:p>
    <w:p>
      <w:pPr>
        <w:pStyle w:val="Heading1"/>
        <w:pBdr>
          <w:bottom w:val="single" w:color="1A2E4A" w:sz="6" w:space="3"/>
        </w:pBdr>
        <w:spacing w:before="360" w:after="120"/>
      </w:pPr>
      <w:r>
        <w:rPr>
          <w:rFonts w:ascii="Arial" w:cs="Arial" w:eastAsia="Arial" w:hAnsi="Arial"/>
          <w:b/>
          <w:bCs/>
          <w:color w:val="1A2E4A"/>
          <w:sz w:val="26"/>
          <w:szCs w:val="26"/>
        </w:rPr>
        <w:t xml:space="preserve">2. Background and Related Work</w:t>
      </w:r>
    </w:p>
    <w:p>
      <w:pPr>
        <w:pStyle w:val="Heading2"/>
        <w:spacing w:before="240" w:after="80"/>
      </w:pPr>
      <w:r>
        <w:rPr>
          <w:rFonts w:ascii="Arial" w:cs="Arial" w:eastAsia="Arial" w:hAnsi="Arial"/>
          <w:b/>
          <w:bCs/>
          <w:color w:val="1A2E4A"/>
          <w:sz w:val="23"/>
          <w:szCs w:val="23"/>
        </w:rPr>
        <w:t xml:space="preserve">2.1 Hyperbolic Graph Embeddings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Poincaré disk model provides a compact representation of hierarchical and scale-free structures [Nickel &amp; Kiela, 2017; Chami et al., 2019]. Geodesic distance:</w:t>
      </w:r>
    </w:p>
    <w:p>
      <w:pPr>
        <w:spacing w:before="160" w:after="160"/>
        <w:jc w:val="center"/>
      </w:pPr>
      <w:r>
        <w:rPr>
          <w:rFonts w:ascii="Courier New" w:cs="Courier New" w:eastAsia="Courier New" w:hAnsi="Courier New"/>
          <w:color w:val="1A2E4A"/>
          <w:sz w:val="22"/>
          <w:szCs w:val="22"/>
        </w:rPr>
        <w:t xml:space="preserve">d_H(u,v) = arccosh( 1 + 2‖u-v‖² / ((1-‖u‖²)(1-‖v‖²))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A critical geometric property exploited by foam nodes: for v with ‖v‖ → 1, d</w:t>
      </w:r>
      <w:r>
        <w:rPr>
          <w:rFonts w:ascii="Times New Roman" w:cs="Times New Roman" w:eastAsia="Times New Roman" w:hAnsi="Times New Roman"/>
          <w:b w:val="false"/>
          <w:bCs w:val="false"/>
          <w:i w:val="false"/>
          <w:iCs w:val="false"/>
          <w:color w:val="000000"/>
          <w:sz w:val="22"/>
          <w:szCs w:val="22"/>
          <w:vertAlign w:val="subscript"/>
        </w:rPr>
        <w:t xml:space="preserve">H</w:t>
      </w:r>
      <w:r>
        <w:rPr>
          <w:rFonts w:ascii="Times New Roman" w:cs="Times New Roman" w:eastAsia="Times New Roman" w:hAnsi="Times New Roman"/>
          <w:b w:val="false"/>
          <w:bCs w:val="false"/>
          <w:i w:val="false"/>
          <w:iCs w:val="false"/>
          <w:color w:val="000000"/>
          <w:sz w:val="22"/>
          <w:szCs w:val="22"/>
        </w:rPr>
        <w:t xml:space="preserve">(v,u) → ∞ for all u near the origin. This is the geometric foundation of foam inflation.</w:t>
      </w:r>
    </w:p>
    <w:p>
      <w:pPr>
        <w:pStyle w:val="Heading2"/>
        <w:spacing w:before="240" w:after="80"/>
      </w:pPr>
      <w:r>
        <w:rPr>
          <w:rFonts w:ascii="Arial" w:cs="Arial" w:eastAsia="Arial" w:hAnsi="Arial"/>
          <w:b/>
          <w:bCs/>
          <w:color w:val="1A2E4A"/>
          <w:sz w:val="23"/>
          <w:szCs w:val="23"/>
        </w:rPr>
        <w:t xml:space="preserve">2.2 The Stability-Plasticity Dilemma</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Biological neural systems exhibit the stability-plasticity dilemma [Abraham &amp; Robins, 2005]: synaptic reorganization produces short-term degradation on previously acquired tasks. We introduce the </w:t>
      </w:r>
      <w:r>
        <w:rPr>
          <w:rFonts w:ascii="Times New Roman" w:cs="Times New Roman" w:eastAsia="Times New Roman" w:hAnsi="Times New Roman"/>
          <w:b/>
          <w:bCs/>
          <w:i w:val="false"/>
          <w:iCs w:val="false"/>
          <w:color w:val="000000"/>
          <w:sz w:val="22"/>
          <w:szCs w:val="22"/>
        </w:rPr>
        <w:t xml:space="preserve">Plasticity Tax</w:t>
      </w:r>
      <w:r>
        <w:rPr>
          <w:rFonts w:ascii="Times New Roman" w:cs="Times New Roman" w:eastAsia="Times New Roman" w:hAnsi="Times New Roman"/>
          <w:b w:val="false"/>
          <w:bCs w:val="false"/>
          <w:i w:val="false"/>
          <w:iCs w:val="false"/>
          <w:color w:val="000000"/>
          <w:sz w:val="22"/>
          <w:szCs w:val="22"/>
        </w:rPr>
        <w:t xml:space="preserve"> as the graph-computational instantiation of this phenomenon — the temporary NCA degradation that occurs while Zaratustra rewrites topology. Unlike catastrophic forgetting, the Plasticity Tax is </w:t>
      </w:r>
      <w:r>
        <w:rPr>
          <w:rFonts w:ascii="Times New Roman" w:cs="Times New Roman" w:eastAsia="Times New Roman" w:hAnsi="Times New Roman"/>
          <w:b w:val="false"/>
          <w:bCs w:val="false"/>
          <w:i/>
          <w:iCs/>
          <w:color w:val="000000"/>
          <w:sz w:val="22"/>
          <w:szCs w:val="22"/>
        </w:rPr>
        <w:t xml:space="preserve">recoverable</w:t>
      </w:r>
      <w:r>
        <w:rPr>
          <w:rFonts w:ascii="Times New Roman" w:cs="Times New Roman" w:eastAsia="Times New Roman" w:hAnsi="Times New Roman"/>
          <w:b w:val="false"/>
          <w:bCs w:val="false"/>
          <w:i w:val="false"/>
          <w:iCs w:val="false"/>
          <w:color w:val="000000"/>
          <w:sz w:val="22"/>
          <w:szCs w:val="22"/>
        </w:rPr>
        <w:t xml:space="preserve">: consolidation restores and improves performance.</w:t>
      </w:r>
    </w:p>
    <w:p>
      <w:pPr>
        <w:pStyle w:val="Heading2"/>
        <w:spacing w:before="240" w:after="80"/>
      </w:pPr>
      <w:r>
        <w:rPr>
          <w:rFonts w:ascii="Arial" w:cs="Arial" w:eastAsia="Arial" w:hAnsi="Arial"/>
          <w:b/>
          <w:bCs/>
          <w:color w:val="1A2E4A"/>
          <w:sz w:val="23"/>
          <w:szCs w:val="23"/>
        </w:rPr>
        <w:t xml:space="preserve">2.3 Continual Learning Evaluation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continual learning literature [Parisi et al., 2019; De Lange et al., 2022] measures forgetting as performance loss on previously mastered tasks. Our work introduces a complementary measure: the </w:t>
      </w:r>
      <w:r>
        <w:rPr>
          <w:rFonts w:ascii="Times New Roman" w:cs="Times New Roman" w:eastAsia="Times New Roman" w:hAnsi="Times New Roman"/>
          <w:b w:val="false"/>
          <w:bCs w:val="false"/>
          <w:i/>
          <w:iCs/>
          <w:color w:val="000000"/>
          <w:sz w:val="22"/>
          <w:szCs w:val="22"/>
        </w:rPr>
        <w:t xml:space="preserve">cost of acquiring new structure</w:t>
      </w:r>
      <w:r>
        <w:rPr>
          <w:rFonts w:ascii="Times New Roman" w:cs="Times New Roman" w:eastAsia="Times New Roman" w:hAnsi="Times New Roman"/>
          <w:b w:val="false"/>
          <w:bCs w:val="false"/>
          <w:i w:val="false"/>
          <w:iCs w:val="false"/>
          <w:color w:val="000000"/>
          <w:sz w:val="22"/>
          <w:szCs w:val="22"/>
        </w:rPr>
        <w:t xml:space="preserve">, and the window over which that cost resolves. This is distinct from forgetting: Normal mode doesn’t forget the original structure, it transcends it.</w:t>
      </w:r>
    </w:p>
    <w:p>
      <w:pPr>
        <w:pStyle w:val="Heading2"/>
        <w:spacing w:before="240" w:after="80"/>
      </w:pPr>
      <w:r>
        <w:rPr>
          <w:rFonts w:ascii="Arial" w:cs="Arial" w:eastAsia="Arial" w:hAnsi="Arial"/>
          <w:b/>
          <w:bCs/>
          <w:color w:val="1A2E4A"/>
          <w:sz w:val="23"/>
          <w:szCs w:val="23"/>
        </w:rPr>
        <w:t xml:space="preserve">2.4 Link Prediction and Negative Sampling Bias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Standard link prediction [Hamilton et al., 2017] samples negatives uniformly from non-edges. The foam inflation artifact (Appendix A) inflates AUC monotonically with the foam fraction in the negative pool. The </w:t>
      </w:r>
      <w:r>
        <w:rPr>
          <w:rFonts w:ascii="Courier New" w:cs="Courier New" w:eastAsia="Courier New" w:hAnsi="Courier New"/>
          <w:color w:val="1A2E4A"/>
          <w:sz w:val="20"/>
          <w:szCs w:val="20"/>
        </w:rPr>
        <w:t xml:space="preserve">NietzscheEvaluationSuite</w:t>
      </w:r>
      <w:r>
        <w:rPr>
          <w:rFonts w:ascii="Times New Roman" w:cs="Times New Roman" w:eastAsia="Times New Roman" w:hAnsi="Times New Roman"/>
          <w:b w:val="false"/>
          <w:bCs w:val="false"/>
          <w:i w:val="false"/>
          <w:iCs w:val="false"/>
          <w:color w:val="000000"/>
          <w:sz w:val="22"/>
          <w:szCs w:val="22"/>
        </w:rPr>
        <w:t xml:space="preserve"> cures this by (a) excluding immature nodes via age filter τ=3 from positives, and (b) constructing negatives exclusively from V</w:t>
      </w:r>
      <w:r>
        <w:rPr>
          <w:rFonts w:ascii="Times New Roman" w:cs="Times New Roman" w:eastAsia="Times New Roman" w:hAnsi="Times New Roman"/>
          <w:b w:val="false"/>
          <w:bCs w:val="false"/>
          <w:i w:val="false"/>
          <w:iCs w:val="false"/>
          <w:color w:val="000000"/>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w:t>
      </w:r>
    </w:p>
    <w:p>
      <w:pPr>
        <w:pStyle w:val="Heading1"/>
        <w:pBdr>
          <w:bottom w:val="single" w:color="1A2E4A" w:sz="6" w:space="3"/>
        </w:pBdr>
        <w:spacing w:before="360" w:after="120"/>
      </w:pPr>
      <w:r>
        <w:rPr>
          <w:rFonts w:ascii="Arial" w:cs="Arial" w:eastAsia="Arial" w:hAnsi="Arial"/>
          <w:b/>
          <w:bCs/>
          <w:color w:val="1A2E4A"/>
          <w:sz w:val="26"/>
          <w:szCs w:val="26"/>
        </w:rPr>
        <w:t xml:space="preserve">3. System: NietzscheDB</w:t>
      </w:r>
    </w:p>
    <w:p>
      <w:pPr>
        <w:pStyle w:val="Heading2"/>
        <w:spacing w:before="240" w:after="80"/>
      </w:pPr>
      <w:r>
        <w:rPr>
          <w:rFonts w:ascii="Arial" w:cs="Arial" w:eastAsia="Arial" w:hAnsi="Arial"/>
          <w:b/>
          <w:bCs/>
          <w:color w:val="1A2E4A"/>
          <w:sz w:val="23"/>
          <w:szCs w:val="23"/>
        </w:rPr>
        <w:t xml:space="preserve">3.1 Architecture Overview</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NietzscheDB comprises three components: (1) </w:t>
      </w:r>
      <w:r>
        <w:rPr>
          <w:rFonts w:ascii="Times New Roman" w:cs="Times New Roman" w:eastAsia="Times New Roman" w:hAnsi="Times New Roman"/>
          <w:b/>
          <w:bCs/>
          <w:i w:val="false"/>
          <w:iCs w:val="false"/>
          <w:color w:val="000000"/>
          <w:sz w:val="22"/>
          <w:szCs w:val="22"/>
        </w:rPr>
        <w:t xml:space="preserve">Poincaré Disk Embedding Space</w:t>
      </w:r>
      <w:r>
        <w:rPr>
          <w:rFonts w:ascii="Times New Roman" w:cs="Times New Roman" w:eastAsia="Times New Roman" w:hAnsi="Times New Roman"/>
          <w:b w:val="false"/>
          <w:bCs w:val="false"/>
          <w:i w:val="false"/>
          <w:iCs w:val="false"/>
          <w:color w:val="000000"/>
          <w:sz w:val="22"/>
          <w:szCs w:val="22"/>
        </w:rPr>
        <w:t xml:space="preserve"> (D=64); (2) </w:t>
      </w:r>
      <w:r>
        <w:rPr>
          <w:rFonts w:ascii="Times New Roman" w:cs="Times New Roman" w:eastAsia="Times New Roman" w:hAnsi="Times New Roman"/>
          <w:b/>
          <w:bCs/>
          <w:i w:val="false"/>
          <w:iCs w:val="false"/>
          <w:color w:val="000000"/>
          <w:sz w:val="22"/>
          <w:szCs w:val="22"/>
        </w:rPr>
        <w:t xml:space="preserve">Zaratustra Engine</w:t>
      </w:r>
      <w:r>
        <w:rPr>
          <w:rFonts w:ascii="Times New Roman" w:cs="Times New Roman" w:eastAsia="Times New Roman" w:hAnsi="Times New Roman"/>
          <w:b w:val="false"/>
          <w:bCs w:val="false"/>
          <w:i w:val="false"/>
          <w:iCs w:val="false"/>
          <w:color w:val="000000"/>
          <w:sz w:val="22"/>
          <w:szCs w:val="22"/>
        </w:rPr>
        <w:t xml:space="preserve">, an L-System synthesis engine; (3) </w:t>
      </w:r>
      <w:r>
        <w:rPr>
          <w:rFonts w:ascii="Times New Roman" w:cs="Times New Roman" w:eastAsia="Times New Roman" w:hAnsi="Times New Roman"/>
          <w:b/>
          <w:bCs/>
          <w:i w:val="false"/>
          <w:iCs w:val="false"/>
          <w:color w:val="000000"/>
          <w:sz w:val="22"/>
          <w:szCs w:val="22"/>
        </w:rPr>
        <w:t xml:space="preserve">2-layer GCN Encoder</w:t>
      </w:r>
      <w:r>
        <w:rPr>
          <w:rFonts w:ascii="Times New Roman" w:cs="Times New Roman" w:eastAsia="Times New Roman" w:hAnsi="Times New Roman"/>
          <w:b w:val="false"/>
          <w:bCs w:val="false"/>
          <w:i w:val="false"/>
          <w:iCs w:val="false"/>
          <w:color w:val="000000"/>
          <w:sz w:val="22"/>
          <w:szCs w:val="22"/>
        </w:rPr>
        <w:t xml:space="preserve"> [Kipf &amp; Welling, 2017] with spectral normalization.</w:t>
      </w:r>
    </w:p>
    <w:p>
      <w:pPr>
        <w:pStyle w:val="Heading2"/>
        <w:spacing w:before="240" w:after="80"/>
      </w:pPr>
      <w:r>
        <w:rPr>
          <w:rFonts w:ascii="Arial" w:cs="Arial" w:eastAsia="Arial" w:hAnsi="Arial"/>
          <w:b/>
          <w:bCs/>
          <w:color w:val="1A2E4A"/>
          <w:sz w:val="23"/>
          <w:szCs w:val="23"/>
        </w:rPr>
        <w:t xml:space="preserve">3.2 The Zaratustra Engine: Three Operational Conditions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At each cycle t, Zaratustra selects seed set Sₜ by anchoring policy and generates κ=2 new edges per seed:</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180" w:after="60"/>
      </w:pPr>
      <w:r>
        <w:rPr>
          <w:rFonts w:ascii="Arial" w:cs="Arial" w:eastAsia="Arial" w:hAnsi="Arial"/>
          <w:b/>
          <w:bCs/>
          <w:color w:val="2E7D32"/>
          <w:sz w:val="22"/>
          <w:szCs w:val="22"/>
        </w:rPr>
        <w:t xml:space="preserve">Normal (elite-anchored) — the anabolic agent:</w:t>
      </w:r>
    </w:p>
    <w:p>
      <w:pPr>
        <w:spacing w:before="160" w:after="160"/>
        <w:jc w:val="center"/>
      </w:pPr>
      <w:r>
        <w:rPr>
          <w:rFonts w:ascii="Courier New" w:cs="Courier New" w:eastAsia="Courier New" w:hAnsi="Courier New"/>
          <w:color w:val="1A2E4A"/>
          <w:sz w:val="22"/>
          <w:szCs w:val="22"/>
        </w:rPr>
        <w:t xml:space="preserve">S_t = { v ∈ V_t | deg_t(v) &gt; μ + kσ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Connects high-centrality hubs. Drives semantic compression, eigenvalue redistribution of Â</w:t>
      </w:r>
      <w:r>
        <w:rPr>
          <w:rFonts w:ascii="Times New Roman" w:cs="Times New Roman" w:eastAsia="Times New Roman" w:hAnsi="Times New Roman"/>
          <w:b w:val="false"/>
          <w:bCs w:val="false"/>
          <w:i w:val="false"/>
          <w:iCs w:val="false"/>
          <w:color w:val="000000"/>
          <w:sz w:val="22"/>
          <w:szCs w:val="22"/>
          <w:vertAlign w:val="subscript"/>
        </w:rPr>
        <w:t xml:space="preserve">t</w:t>
      </w:r>
      <w:r>
        <w:rPr>
          <w:rFonts w:ascii="Times New Roman" w:cs="Times New Roman" w:eastAsia="Times New Roman" w:hAnsi="Times New Roman"/>
          <w:b w:val="false"/>
          <w:bCs w:val="false"/>
          <w:i w:val="false"/>
          <w:iCs w:val="false"/>
          <w:color w:val="000000"/>
          <w:sz w:val="22"/>
          <w:szCs w:val="22"/>
        </w:rPr>
        <w:t xml:space="preserve">, and directional embedding drift. </w:t>
      </w:r>
      <w:r>
        <w:rPr>
          <w:rFonts w:ascii="Times New Roman" w:cs="Times New Roman" w:eastAsia="Times New Roman" w:hAnsi="Times New Roman"/>
          <w:b/>
          <w:bCs/>
          <w:i w:val="false"/>
          <w:iCs w:val="false"/>
          <w:color w:val="000000"/>
          <w:sz w:val="22"/>
          <w:szCs w:val="22"/>
        </w:rPr>
        <w:t xml:space="preserve">Pays the Plasticity Tax</w:t>
      </w:r>
      <w:r>
        <w:rPr>
          <w:rFonts w:ascii="Times New Roman" w:cs="Times New Roman" w:eastAsia="Times New Roman" w:hAnsi="Times New Roman"/>
          <w:b w:val="false"/>
          <w:bCs w:val="false"/>
          <w:i w:val="false"/>
          <w:iCs w:val="false"/>
          <w:color w:val="000000"/>
          <w:sz w:val="22"/>
          <w:szCs w:val="22"/>
        </w:rPr>
        <w:t xml:space="preserve"> — but recovers and consolidates.</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180" w:after="60"/>
      </w:pPr>
      <w:r>
        <w:rPr>
          <w:rFonts w:ascii="Arial" w:cs="Arial" w:eastAsia="Arial" w:hAnsi="Arial"/>
          <w:b/>
          <w:bCs/>
          <w:color w:val="888888"/>
          <w:sz w:val="22"/>
          <w:szCs w:val="22"/>
        </w:rPr>
        <w:t xml:space="preserve">Off (foam-orphan) — the passive control:</w:t>
      </w:r>
    </w:p>
    <w:p>
      <w:pPr>
        <w:spacing w:before="160" w:after="160"/>
        <w:jc w:val="center"/>
      </w:pPr>
      <w:r>
        <w:rPr>
          <w:rFonts w:ascii="Courier New" w:cs="Courier New" w:eastAsia="Courier New" w:hAnsi="Courier New"/>
          <w:color w:val="1A2E4A"/>
          <w:sz w:val="22"/>
          <w:szCs w:val="22"/>
        </w:rPr>
        <w:t xml:space="preserve">S_t = ∅  ⇒  nodes at ‖v‖ → 1, no edges</w:t>
      </w:r>
    </w:p>
    <w:p>
      <w:pPr>
        <w:spacing w:before="80" w:after="100" w:line="276"/>
        <w:jc w:val="both"/>
      </w:pPr>
      <w:r>
        <w:rPr>
          <w:rFonts w:ascii="Times New Roman" w:cs="Times New Roman" w:eastAsia="Times New Roman" w:hAnsi="Times New Roman"/>
          <w:b/>
          <w:bCs/>
          <w:i w:val="false"/>
          <w:iCs w:val="false"/>
          <w:color w:val="000000"/>
          <w:sz w:val="22"/>
          <w:szCs w:val="22"/>
        </w:rPr>
        <w:t xml:space="preserve">Not a cognitive agent.</w:t>
      </w:r>
      <w:r>
        <w:rPr>
          <w:rFonts w:ascii="Times New Roman" w:cs="Times New Roman" w:eastAsia="Times New Roman" w:hAnsi="Times New Roman"/>
          <w:b w:val="false"/>
          <w:bCs w:val="false"/>
          <w:i w:val="false"/>
          <w:iCs w:val="false"/>
          <w:color w:val="000000"/>
          <w:sz w:val="22"/>
          <w:szCs w:val="22"/>
        </w:rPr>
        <w:t xml:space="preserve"> Generates no edges, makes no semantic claims, exerts zero perturbation on A</w:t>
      </w:r>
      <w:r>
        <w:rPr>
          <w:rFonts w:ascii="Times New Roman" w:cs="Times New Roman" w:eastAsia="Times New Roman" w:hAnsi="Times New Roman"/>
          <w:b w:val="false"/>
          <w:bCs w:val="false"/>
          <w:i w:val="false"/>
          <w:iCs w:val="false"/>
          <w:color w:val="000000"/>
          <w:sz w:val="22"/>
          <w:szCs w:val="22"/>
          <w:vertAlign w:val="subscript"/>
        </w:rPr>
        <w:t xml:space="preserve">t</w:t>
      </w:r>
      <w:r>
        <w:rPr>
          <w:rFonts w:ascii="Times New Roman" w:cs="Times New Roman" w:eastAsia="Times New Roman" w:hAnsi="Times New Roman"/>
          <w:b w:val="false"/>
          <w:bCs w:val="false"/>
          <w:i w:val="false"/>
          <w:iCs w:val="false"/>
          <w:color w:val="000000"/>
          <w:sz w:val="22"/>
          <w:szCs w:val="22"/>
        </w:rPr>
        <w:t xml:space="preserve">. NCA advantage is the absence of Laplacian perturbation, not cognitive superiority. Yₓ = 0 by construction since |E</w:t>
      </w:r>
      <w:r>
        <w:rPr>
          <w:rFonts w:ascii="Times New Roman" w:cs="Times New Roman" w:eastAsia="Times New Roman" w:hAnsi="Times New Roman"/>
          <w:b w:val="false"/>
          <w:bCs w:val="false"/>
          <w:i w:val="false"/>
          <w:iCs w:val="false"/>
          <w:color w:val="000000"/>
          <w:sz w:val="22"/>
          <w:szCs w:val="22"/>
          <w:vertAlign w:val="subscript"/>
        </w:rPr>
        <w:t xml:space="preserve">gen</w:t>
      </w:r>
      <w:r>
        <w:rPr>
          <w:rFonts w:ascii="Times New Roman" w:cs="Times New Roman" w:eastAsia="Times New Roman" w:hAnsi="Times New Roman"/>
          <w:b w:val="false"/>
          <w:bCs w:val="false"/>
          <w:i w:val="false"/>
          <w:iCs w:val="false"/>
          <w:color w:val="000000"/>
          <w:sz w:val="22"/>
          <w:szCs w:val="22"/>
        </w:rPr>
        <w:t xml:space="preserve">| = 0.</w:t>
      </w:r>
    </w:p>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180" w:after="60"/>
      </w:pPr>
      <w:r>
        <w:rPr>
          <w:rFonts w:ascii="Arial" w:cs="Arial" w:eastAsia="Arial" w:hAnsi="Arial"/>
          <w:b/>
          <w:bCs/>
          <w:color w:val="C62828"/>
          <w:sz w:val="22"/>
          <w:szCs w:val="22"/>
        </w:rPr>
        <w:t xml:space="preserve">Inverted (anti-anchored) — the catabolic agent:</w:t>
      </w:r>
    </w:p>
    <w:p>
      <w:pPr>
        <w:spacing w:before="160" w:after="160"/>
        <w:jc w:val="center"/>
      </w:pPr>
      <w:r>
        <w:rPr>
          <w:rFonts w:ascii="Courier New" w:cs="Courier New" w:eastAsia="Courier New" w:hAnsi="Courier New"/>
          <w:color w:val="1A2E4A"/>
          <w:sz w:val="22"/>
          <w:szCs w:val="22"/>
        </w:rPr>
        <w:t xml:space="preserve">S_t = { v ∈ V_t | deg_t(v) &lt; μ - kσ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Peripheral anchoring. Fragments semantic clusters. Homophily is </w:t>
      </w:r>
      <w:r>
        <w:rPr>
          <w:rFonts w:ascii="Times New Roman" w:cs="Times New Roman" w:eastAsia="Times New Roman" w:hAnsi="Times New Roman"/>
          <w:b w:val="false"/>
          <w:bCs w:val="false"/>
          <w:i/>
          <w:iCs/>
          <w:color w:val="000000"/>
          <w:sz w:val="22"/>
          <w:szCs w:val="22"/>
        </w:rPr>
        <w:t xml:space="preserve">imposed</w:t>
      </w:r>
      <w:r>
        <w:rPr>
          <w:rFonts w:ascii="Times New Roman" w:cs="Times New Roman" w:eastAsia="Times New Roman" w:hAnsi="Times New Roman"/>
          <w:b w:val="false"/>
          <w:bCs w:val="false"/>
          <w:i w:val="false"/>
          <w:iCs w:val="false"/>
          <w:color w:val="000000"/>
          <w:sz w:val="22"/>
          <w:szCs w:val="22"/>
        </w:rPr>
        <w:t xml:space="preserve"> (peripheral nodes happen to cluster by degree, which correlates with class in Cora), not emergent. AUC</w:t>
      </w:r>
      <w:r>
        <w:rPr>
          <w:rFonts w:ascii="Times New Roman" w:cs="Times New Roman" w:eastAsia="Times New Roman" w:hAnsi="Times New Roman"/>
          <w:b w:val="false"/>
          <w:bCs w:val="false"/>
          <w:i w:val="false"/>
          <w:iCs w:val="false"/>
          <w:color w:val="000000"/>
          <w:sz w:val="22"/>
          <w:szCs w:val="22"/>
          <w:vertAlign w:val="subscript"/>
        </w:rPr>
        <w:t xml:space="preserve">synth</w:t>
      </w:r>
      <w:r>
        <w:rPr>
          <w:rFonts w:ascii="Times New Roman" w:cs="Times New Roman" w:eastAsia="Times New Roman" w:hAnsi="Times New Roman"/>
          <w:b w:val="false"/>
          <w:bCs w:val="false"/>
          <w:i w:val="false"/>
          <w:iCs w:val="false"/>
          <w:color w:val="000000"/>
          <w:sz w:val="22"/>
          <w:szCs w:val="22"/>
        </w:rPr>
        <w:t xml:space="preserve"> = 0.090 reveals that generated edges are geometrically incoherent.</w:t>
      </w:r>
    </w:p>
    <w:p>
      <w:pPr>
        <w:pStyle w:val="Heading2"/>
        <w:spacing w:before="240" w:after="80"/>
      </w:pPr>
      <w:r>
        <w:rPr>
          <w:rFonts w:ascii="Arial" w:cs="Arial" w:eastAsia="Arial" w:hAnsi="Arial"/>
          <w:b/>
          <w:bCs/>
          <w:color w:val="1A2E4A"/>
          <w:sz w:val="23"/>
          <w:szCs w:val="23"/>
        </w:rPr>
        <w:t xml:space="preserve">3.3 Topological Growth Coefficient (TGC)</w:t>
      </w:r>
    </w:p>
    <w:p>
      <w:pPr>
        <w:spacing w:before="160" w:after="160"/>
        <w:jc w:val="center"/>
      </w:pPr>
      <w:r>
        <w:rPr>
          <w:rFonts w:ascii="Courier New" w:cs="Courier New" w:eastAsia="Courier New" w:hAnsi="Courier New"/>
          <w:color w:val="1A2E4A"/>
          <w:sz w:val="22"/>
          <w:szCs w:val="22"/>
        </w:rPr>
        <w:t xml:space="preserve">TGC_t = (|E_Δt| / |V_t|) · (|C_t^max| / |V_t|)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Second factor penalizes disconnected foam: islands reduce TGC regardless of edge count. EMA with α=0.1. Universal empirical law: r(TGC, AUC) &gt; 0.84, p &lt; 10</w:t>
      </w:r>
      <w:r>
        <w:rPr>
          <w:rFonts w:ascii="Times New Roman" w:cs="Times New Roman" w:eastAsia="Times New Roman" w:hAnsi="Times New Roman"/>
          <w:b w:val="false"/>
          <w:bCs w:val="false"/>
          <w:i w:val="false"/>
          <w:iCs w:val="false"/>
          <w:color w:val="000000"/>
          <w:sz w:val="22"/>
          <w:szCs w:val="22"/>
          <w:vertAlign w:val="superscript"/>
        </w:rPr>
        <w:t xml:space="preserve">⁻²⁷</w:t>
      </w:r>
      <w:r>
        <w:rPr>
          <w:rFonts w:ascii="Times New Roman" w:cs="Times New Roman" w:eastAsia="Times New Roman" w:hAnsi="Times New Roman"/>
          <w:b w:val="false"/>
          <w:bCs w:val="false"/>
          <w:i w:val="false"/>
          <w:iCs w:val="false"/>
          <w:color w:val="000000"/>
          <w:sz w:val="22"/>
          <w:szCs w:val="22"/>
        </w:rPr>
        <w:t xml:space="preserve"> across all conditions.</w:t>
      </w:r>
    </w:p>
    <w:p>
      <w:pPr>
        <w:pStyle w:val="Heading2"/>
        <w:spacing w:before="240" w:after="80"/>
      </w:pPr>
      <w:r>
        <w:rPr>
          <w:rFonts w:ascii="Arial" w:cs="Arial" w:eastAsia="Arial" w:hAnsi="Arial"/>
          <w:b/>
          <w:bCs/>
          <w:color w:val="1A2E4A"/>
          <w:sz w:val="23"/>
          <w:szCs w:val="23"/>
        </w:rPr>
        <w:t xml:space="preserve">3.4 Age Filter and Consolidation Window</w:t>
      </w:r>
    </w:p>
    <w:p>
      <w:pPr>
        <w:spacing w:before="80" w:after="100" w:line="276"/>
        <w:jc w:val="both"/>
      </w:pPr>
      <w:r>
        <w:rPr>
          <w:rFonts w:ascii="Times New Roman" w:cs="Times New Roman" w:eastAsia="Times New Roman" w:hAnsi="Times New Roman"/>
          <w:b/>
          <w:bCs/>
          <w:i w:val="false"/>
          <w:iCs w:val="false"/>
          <w:color w:val="000000"/>
          <w:sz w:val="22"/>
          <w:szCs w:val="22"/>
        </w:rPr>
        <w:t xml:space="preserve">Age filter (τ=3):</w:t>
      </w:r>
      <w:r>
        <w:rPr>
          <w:rFonts w:ascii="Times New Roman" w:cs="Times New Roman" w:eastAsia="Times New Roman" w:hAnsi="Times New Roman"/>
          <w:b w:val="false"/>
          <w:bCs w:val="false"/>
          <w:i w:val="false"/>
          <w:iCs w:val="false"/>
          <w:color w:val="000000"/>
          <w:sz w:val="22"/>
          <w:szCs w:val="22"/>
        </w:rPr>
        <w:t xml:space="preserve"> node v born at cycle b</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 has age a</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(t) = t − b</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 AUC_synth at cycle t evaluates only edges (u,v) ∈ E</w:t>
      </w:r>
      <w:r>
        <w:rPr>
          <w:rFonts w:ascii="Times New Roman" w:cs="Times New Roman" w:eastAsia="Times New Roman" w:hAnsi="Times New Roman"/>
          <w:b w:val="false"/>
          <w:bCs w:val="false"/>
          <w:i w:val="false"/>
          <w:iCs w:val="false"/>
          <w:color w:val="000000"/>
          <w:sz w:val="22"/>
          <w:szCs w:val="22"/>
          <w:vertAlign w:val="subscript"/>
        </w:rPr>
        <w:t xml:space="preserve">Δt</w:t>
      </w:r>
      <w:r>
        <w:rPr>
          <w:rFonts w:ascii="Times New Roman" w:cs="Times New Roman" w:eastAsia="Times New Roman" w:hAnsi="Times New Roman"/>
          <w:b w:val="false"/>
          <w:bCs w:val="false"/>
          <w:i w:val="false"/>
          <w:iCs w:val="false"/>
          <w:color w:val="000000"/>
          <w:sz w:val="22"/>
          <w:szCs w:val="22"/>
        </w:rPr>
        <w:t xml:space="preserve"> with min(a</w:t>
      </w:r>
      <w:r>
        <w:rPr>
          <w:rFonts w:ascii="Times New Roman" w:cs="Times New Roman" w:eastAsia="Times New Roman" w:hAnsi="Times New Roman"/>
          <w:b w:val="false"/>
          <w:bCs w:val="false"/>
          <w:i w:val="false"/>
          <w:iCs w:val="false"/>
          <w:color w:val="000000"/>
          <w:sz w:val="22"/>
          <w:szCs w:val="22"/>
          <w:vertAlign w:val="subscript"/>
        </w:rPr>
        <w:t xml:space="preserve">u</w:t>
      </w:r>
      <w:r>
        <w:rPr>
          <w:rFonts w:ascii="Times New Roman" w:cs="Times New Roman" w:eastAsia="Times New Roman" w:hAnsi="Times New Roman"/>
          <w:b w:val="false"/>
          <w:bCs w:val="false"/>
          <w:i w:val="false"/>
          <w:iCs w:val="false"/>
          <w:color w:val="000000"/>
          <w:sz w:val="22"/>
          <w:szCs w:val="22"/>
        </w:rPr>
        <w:t xml:space="preserve">,a</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 ≥ τ. Eliminates immature foam from positives. N</w:t>
      </w:r>
      <w:r>
        <w:rPr>
          <w:rFonts w:ascii="Times New Roman" w:cs="Times New Roman" w:eastAsia="Times New Roman" w:hAnsi="Times New Roman"/>
          <w:b w:val="false"/>
          <w:bCs w:val="false"/>
          <w:i w:val="false"/>
          <w:iCs w:val="false"/>
          <w:color w:val="000000"/>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construction eliminates foam from negatives. Together: foam-immune evaluation.</w:t>
      </w:r>
    </w:p>
    <w:p>
      <w:pPr>
        <w:spacing w:before="80" w:after="100" w:line="276"/>
        <w:jc w:val="both"/>
      </w:pPr>
      <w:r>
        <w:rPr>
          <w:rFonts w:ascii="Times New Roman" w:cs="Times New Roman" w:eastAsia="Times New Roman" w:hAnsi="Times New Roman"/>
          <w:b/>
          <w:bCs/>
          <w:i w:val="false"/>
          <w:iCs w:val="false"/>
          <w:color w:val="000000"/>
          <w:sz w:val="22"/>
          <w:szCs w:val="22"/>
        </w:rPr>
        <w:t xml:space="preserve">Consolidation window [80–100]:</w:t>
      </w:r>
      <w:r>
        <w:rPr>
          <w:rFonts w:ascii="Times New Roman" w:cs="Times New Roman" w:eastAsia="Times New Roman" w:hAnsi="Times New Roman"/>
          <w:b w:val="false"/>
          <w:bCs w:val="false"/>
          <w:i w:val="false"/>
          <w:iCs w:val="false"/>
          <w:color w:val="000000"/>
          <w:sz w:val="22"/>
          <w:szCs w:val="22"/>
        </w:rPr>
        <w:t xml:space="preserve"> final 20 cycles of each 100-cycle run. Zaratustra’s output variance decreases monotonically after cycle ≈70; the last 20 cycles represent steady-state operation. NCA evaluated here separates the Plasticity Tax (transitional) from any structural damage (permanent).</w:t>
      </w:r>
    </w:p>
    <w:p>
      <w:pPr>
        <w:pStyle w:val="Heading1"/>
        <w:pBdr>
          <w:bottom w:val="single" w:color="1A2E4A" w:sz="6" w:space="3"/>
        </w:pBdr>
        <w:spacing w:before="360" w:after="120"/>
      </w:pPr>
      <w:r>
        <w:rPr>
          <w:rFonts w:ascii="Arial" w:cs="Arial" w:eastAsia="Arial" w:hAnsi="Arial"/>
          <w:b/>
          <w:bCs/>
          <w:color w:val="1A2E4A"/>
          <w:sz w:val="26"/>
          <w:szCs w:val="26"/>
        </w:rPr>
        <w:t xml:space="preserve">4. The Plasticity Tax: Formal Analysis</w:t>
      </w:r>
    </w:p>
    <w:p>
      <w:pPr>
        <w:pStyle w:val="Heading2"/>
        <w:spacing w:before="240" w:after="80"/>
      </w:pPr>
      <w:r>
        <w:rPr>
          <w:rFonts w:ascii="Arial" w:cs="Arial" w:eastAsia="Arial" w:hAnsi="Arial"/>
          <w:b/>
          <w:bCs/>
          <w:color w:val="1A2E4A"/>
          <w:sz w:val="23"/>
          <w:szCs w:val="23"/>
        </w:rPr>
        <w:t xml:space="preserve">4.1 The Three Violated Assumptions of Static Benchmarks</w:t>
      </w:r>
    </w:p>
    <w:p>
      <w:pPr>
        <w:spacing w:before="80" w:after="100" w:line="276"/>
        <w:jc w:val="both"/>
      </w:pPr>
      <w:r>
        <w:rPr>
          <w:rFonts w:ascii="Times New Roman" w:cs="Times New Roman" w:eastAsia="Times New Roman" w:hAnsi="Times New Roman"/>
          <w:b/>
          <w:bCs/>
          <w:i w:val="false"/>
          <w:iCs w:val="false"/>
          <w:color w:val="000000"/>
          <w:sz w:val="22"/>
          <w:szCs w:val="22"/>
        </w:rPr>
        <w:t xml:space="preserve">A1 (Closed Universe): </w:t>
      </w:r>
      <w:r>
        <w:rPr>
          <w:rFonts w:ascii="Times New Roman" w:cs="Times New Roman" w:eastAsia="Times New Roman" w:hAnsi="Times New Roman"/>
          <w:b w:val="false"/>
          <w:bCs w:val="false"/>
          <w:i w:val="false"/>
          <w:iCs w:val="false"/>
          <w:color w:val="000000"/>
          <w:sz w:val="22"/>
          <w:szCs w:val="22"/>
        </w:rPr>
        <w:t xml:space="preserve">V</w:t>
      </w:r>
      <w:r>
        <w:rPr>
          <w:rFonts w:ascii="Times New Roman" w:cs="Times New Roman" w:eastAsia="Times New Roman" w:hAnsi="Times New Roman"/>
          <w:b w:val="false"/>
          <w:bCs w:val="false"/>
          <w:i w:val="false"/>
          <w:iCs w:val="false"/>
          <w:color w:val="000000"/>
          <w:sz w:val="22"/>
          <w:szCs w:val="22"/>
          <w:vertAlign w:val="subscript"/>
        </w:rPr>
        <w:t xml:space="preserve">eval</w:t>
      </w:r>
      <w:r>
        <w:rPr>
          <w:rFonts w:ascii="Times New Roman" w:cs="Times New Roman" w:eastAsia="Times New Roman" w:hAnsi="Times New Roman"/>
          <w:b w:val="false"/>
          <w:bCs w:val="false"/>
          <w:i w:val="false"/>
          <w:iCs w:val="false"/>
          <w:color w:val="000000"/>
          <w:sz w:val="22"/>
          <w:szCs w:val="22"/>
        </w:rPr>
        <w:t xml:space="preserve"> = V</w:t>
      </w:r>
      <w:r>
        <w:rPr>
          <w:rFonts w:ascii="Times New Roman" w:cs="Times New Roman" w:eastAsia="Times New Roman" w:hAnsi="Times New Roman"/>
          <w:b w:val="false"/>
          <w:bCs w:val="false"/>
          <w:i w:val="false"/>
          <w:iCs w:val="false"/>
          <w:color w:val="000000"/>
          <w:sz w:val="22"/>
          <w:szCs w:val="22"/>
          <w:vertAlign w:val="subscript"/>
        </w:rPr>
        <w:t xml:space="preserve">train</w:t>
      </w:r>
      <w:r>
        <w:rPr>
          <w:rFonts w:ascii="Times New Roman" w:cs="Times New Roman" w:eastAsia="Times New Roman" w:hAnsi="Times New Roman"/>
          <w:b w:val="false"/>
          <w:bCs w:val="false"/>
          <w:i w:val="false"/>
          <w:iCs w:val="false"/>
          <w:color w:val="000000"/>
          <w:sz w:val="22"/>
          <w:szCs w:val="22"/>
        </w:rPr>
        <w:t xml:space="preserve">. Violated: Zaratustra adds nodes each cycle.</w:t>
      </w:r>
    </w:p>
    <w:p>
      <w:pPr>
        <w:spacing w:before="4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bCs/>
          <w:i w:val="false"/>
          <w:iCs w:val="false"/>
          <w:color w:val="000000"/>
          <w:sz w:val="22"/>
          <w:szCs w:val="22"/>
        </w:rPr>
        <w:t xml:space="preserve">A2 (Static Topology): </w:t>
      </w:r>
      <w:r>
        <w:rPr>
          <w:rFonts w:ascii="Times New Roman" w:cs="Times New Roman" w:eastAsia="Times New Roman" w:hAnsi="Times New Roman"/>
          <w:b w:val="false"/>
          <w:bCs w:val="false"/>
          <w:i w:val="false"/>
          <w:iCs w:val="false"/>
          <w:color w:val="000000"/>
          <w:sz w:val="22"/>
          <w:szCs w:val="22"/>
        </w:rPr>
        <w:t xml:space="preserve">A</w:t>
      </w:r>
      <w:r>
        <w:rPr>
          <w:rFonts w:ascii="Times New Roman" w:cs="Times New Roman" w:eastAsia="Times New Roman" w:hAnsi="Times New Roman"/>
          <w:b w:val="false"/>
          <w:bCs w:val="false"/>
          <w:i w:val="false"/>
          <w:iCs w:val="false"/>
          <w:color w:val="000000"/>
          <w:sz w:val="22"/>
          <w:szCs w:val="22"/>
          <w:vertAlign w:val="subscript"/>
        </w:rPr>
        <w:t xml:space="preserve">eval</w:t>
      </w:r>
      <w:r>
        <w:rPr>
          <w:rFonts w:ascii="Times New Roman" w:cs="Times New Roman" w:eastAsia="Times New Roman" w:hAnsi="Times New Roman"/>
          <w:b w:val="false"/>
          <w:bCs w:val="false"/>
          <w:i w:val="false"/>
          <w:iCs w:val="false"/>
          <w:color w:val="000000"/>
          <w:sz w:val="22"/>
          <w:szCs w:val="22"/>
        </w:rPr>
        <w:t xml:space="preserve"> = A</w:t>
      </w:r>
      <w:r>
        <w:rPr>
          <w:rFonts w:ascii="Times New Roman" w:cs="Times New Roman" w:eastAsia="Times New Roman" w:hAnsi="Times New Roman"/>
          <w:b w:val="false"/>
          <w:bCs w:val="false"/>
          <w:i w:val="false"/>
          <w:iCs w:val="false"/>
          <w:color w:val="000000"/>
          <w:sz w:val="22"/>
          <w:szCs w:val="22"/>
          <w:vertAlign w:val="subscript"/>
        </w:rPr>
        <w:t xml:space="preserve">train</w:t>
      </w:r>
      <w:r>
        <w:rPr>
          <w:rFonts w:ascii="Times New Roman" w:cs="Times New Roman" w:eastAsia="Times New Roman" w:hAnsi="Times New Roman"/>
          <w:b w:val="false"/>
          <w:bCs w:val="false"/>
          <w:i w:val="false"/>
          <w:iCs w:val="false"/>
          <w:color w:val="000000"/>
          <w:sz w:val="22"/>
          <w:szCs w:val="22"/>
        </w:rPr>
        <w:t xml:space="preserve">. Violated: elite anchoring redistributes spectral mass of Â</w:t>
      </w:r>
      <w:r>
        <w:rPr>
          <w:rFonts w:ascii="Times New Roman" w:cs="Times New Roman" w:eastAsia="Times New Roman" w:hAnsi="Times New Roman"/>
          <w:b w:val="false"/>
          <w:bCs w:val="false"/>
          <w:i w:val="false"/>
          <w:iCs w:val="false"/>
          <w:color w:val="000000"/>
          <w:sz w:val="22"/>
          <w:szCs w:val="22"/>
          <w:vertAlign w:val="subscript"/>
        </w:rPr>
        <w:t xml:space="preserve">t</w:t>
      </w:r>
      <w:r>
        <w:rPr>
          <w:rFonts w:ascii="Times New Roman" w:cs="Times New Roman" w:eastAsia="Times New Roman" w:hAnsi="Times New Roman"/>
          <w:b w:val="false"/>
          <w:bCs w:val="false"/>
          <w:i w:val="false"/>
          <w:iCs w:val="false"/>
          <w:color w:val="000000"/>
          <w:sz w:val="22"/>
          <w:szCs w:val="22"/>
        </w:rPr>
        <w:t xml:space="preserve">, shifting all embeddings via GNN propagation.</w:t>
      </w:r>
    </w:p>
    <w:p>
      <w:pPr>
        <w:spacing w:before="4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bCs/>
          <w:i w:val="false"/>
          <w:iCs w:val="false"/>
          <w:color w:val="000000"/>
          <w:sz w:val="22"/>
          <w:szCs w:val="22"/>
        </w:rPr>
        <w:t xml:space="preserve">A3 (Uniform Negatives):</w:t>
      </w:r>
      <w:r>
        <w:rPr>
          <w:rFonts w:ascii="Times New Roman" w:cs="Times New Roman" w:eastAsia="Times New Roman" w:hAnsi="Times New Roman"/>
          <w:b w:val="false"/>
          <w:bCs w:val="false"/>
          <w:i w:val="false"/>
          <w:iCs w:val="false"/>
          <w:color w:val="000000"/>
          <w:sz w:val="22"/>
          <w:szCs w:val="22"/>
        </w:rPr>
        <w:t xml:space="preserve"> foam nodes at ‖v‖→1 satisfy d</w:t>
      </w:r>
      <w:r>
        <w:rPr>
          <w:rFonts w:ascii="Times New Roman" w:cs="Times New Roman" w:eastAsia="Times New Roman" w:hAnsi="Times New Roman"/>
          <w:b w:val="false"/>
          <w:bCs w:val="false"/>
          <w:i w:val="false"/>
          <w:iCs w:val="false"/>
          <w:color w:val="000000"/>
          <w:sz w:val="22"/>
          <w:szCs w:val="22"/>
          <w:vertAlign w:val="subscript"/>
        </w:rPr>
        <w:t xml:space="preserve">H</w:t>
      </w:r>
      <w:r>
        <w:rPr>
          <w:rFonts w:ascii="Times New Roman" w:cs="Times New Roman" w:eastAsia="Times New Roman" w:hAnsi="Times New Roman"/>
          <w:b w:val="false"/>
          <w:bCs w:val="false"/>
          <w:i w:val="false"/>
          <w:iCs w:val="false"/>
          <w:color w:val="000000"/>
          <w:sz w:val="22"/>
          <w:szCs w:val="22"/>
        </w:rPr>
        <w:t xml:space="preserve">(v,u)→∞, yielding trivial non-edge classification.</w:t>
      </w:r>
    </w:p>
    <w:p>
      <w:pPr>
        <w:pStyle w:val="Heading2"/>
        <w:spacing w:before="240" w:after="80"/>
      </w:pPr>
      <w:r>
        <w:rPr>
          <w:rFonts w:ascii="Arial" w:cs="Arial" w:eastAsia="Arial" w:hAnsi="Arial"/>
          <w:b/>
          <w:bCs/>
          <w:color w:val="1A2E4A"/>
          <w:sz w:val="23"/>
          <w:szCs w:val="23"/>
        </w:rPr>
        <w:t xml:space="preserve">4.2 Foam Inflation: Monotonicity</w:t>
      </w:r>
    </w:p>
    <w:p>
      <w:pPr>
        <w:spacing w:before="160" w:after="160"/>
        <w:jc w:val="center"/>
      </w:pPr>
      <w:r>
        <w:rPr>
          <w:rFonts w:ascii="Courier New" w:cs="Courier New" w:eastAsia="Courier New" w:hAnsi="Courier New"/>
          <w:color w:val="1A2E4A"/>
          <w:sz w:val="22"/>
          <w:szCs w:val="22"/>
        </w:rPr>
        <w:t xml:space="preserve">d_H(f,c) ≈ arccosh( ‖f-c‖² / (ε(1-r_max²)) )  →  ∞  as ε → 0</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Full monotonicity proof in Appendix A. Cure: age filter + N_Cora negatives → structural foam immunity.</w:t>
      </w:r>
    </w:p>
    <w:p>
      <w:pPr>
        <w:pStyle w:val="Heading2"/>
        <w:spacing w:before="240" w:after="80"/>
      </w:pPr>
      <w:r>
        <w:rPr>
          <w:rFonts w:ascii="Arial" w:cs="Arial" w:eastAsia="Arial" w:hAnsi="Arial"/>
          <w:b/>
          <w:bCs/>
          <w:color w:val="1A2E4A"/>
          <w:sz w:val="23"/>
          <w:szCs w:val="23"/>
        </w:rPr>
        <w:t xml:space="preserve">4.3 The Learning Penalty</w:t>
      </w:r>
    </w:p>
    <w:p>
      <w:pPr>
        <w:spacing w:before="160" w:after="160"/>
        <w:jc w:val="center"/>
      </w:pPr>
      <w:r>
        <w:rPr>
          <w:rFonts w:ascii="Courier New" w:cs="Courier New" w:eastAsia="Courier New" w:hAnsi="Courier New"/>
          <w:color w:val="1A2E4A"/>
          <w:sz w:val="22"/>
          <w:szCs w:val="22"/>
        </w:rPr>
        <w:t xml:space="preserve">H^(l+1) = σ( Â_t H^(l) W^(l) )</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Elite edges modify Â</w:t>
      </w:r>
      <w:r>
        <w:rPr>
          <w:rFonts w:ascii="Times New Roman" w:cs="Times New Roman" w:eastAsia="Times New Roman" w:hAnsi="Times New Roman"/>
          <w:b w:val="false"/>
          <w:bCs w:val="false"/>
          <w:i w:val="false"/>
          <w:iCs w:val="false"/>
          <w:color w:val="000000"/>
          <w:sz w:val="22"/>
          <w:szCs w:val="22"/>
          <w:vertAlign w:val="subscript"/>
        </w:rPr>
        <w:t xml:space="preserve">t</w:t>
      </w:r>
      <w:r>
        <w:rPr>
          <w:rFonts w:ascii="Times New Roman" w:cs="Times New Roman" w:eastAsia="Times New Roman" w:hAnsi="Times New Roman"/>
          <w:b w:val="false"/>
          <w:bCs w:val="false"/>
          <w:i w:val="false"/>
          <w:iCs w:val="false"/>
          <w:color w:val="000000"/>
          <w:sz w:val="22"/>
          <w:szCs w:val="22"/>
        </w:rPr>
        <w:t xml:space="preserve">’s spectral decomposition. Drift δH = H</w:t>
      </w:r>
      <w:r>
        <w:rPr>
          <w:rFonts w:ascii="Times New Roman" w:cs="Times New Roman" w:eastAsia="Times New Roman" w:hAnsi="Times New Roman"/>
          <w:b w:val="false"/>
          <w:bCs w:val="false"/>
          <w:i w:val="false"/>
          <w:iCs w:val="false"/>
          <w:color w:val="000000"/>
          <w:sz w:val="22"/>
          <w:szCs w:val="22"/>
          <w:vertAlign w:val="subscript"/>
        </w:rPr>
        <w:t xml:space="preserve">t</w:t>
      </w:r>
      <w:r>
        <w:rPr>
          <w:rFonts w:ascii="Times New Roman" w:cs="Times New Roman" w:eastAsia="Times New Roman" w:hAnsi="Times New Roman"/>
          <w:b w:val="false"/>
          <w:bCs w:val="false"/>
          <w:i w:val="false"/>
          <w:iCs w:val="false"/>
          <w:color w:val="000000"/>
          <w:sz w:val="22"/>
          <w:szCs w:val="22"/>
        </w:rPr>
        <w:t xml:space="preserve"> − H</w:t>
      </w:r>
      <w:r>
        <w:rPr>
          <w:rFonts w:ascii="Times New Roman" w:cs="Times New Roman" w:eastAsia="Times New Roman" w:hAnsi="Times New Roman"/>
          <w:b w:val="false"/>
          <w:bCs w:val="false"/>
          <w:i w:val="false"/>
          <w:iCs w:val="false"/>
          <w:color w:val="000000"/>
          <w:sz w:val="22"/>
          <w:szCs w:val="22"/>
          <w:vertAlign w:val="subscript"/>
        </w:rPr>
        <w:t xml:space="preserve">t−1</w:t>
      </w:r>
      <w:r>
        <w:rPr>
          <w:rFonts w:ascii="Times New Roman" w:cs="Times New Roman" w:eastAsia="Times New Roman" w:hAnsi="Times New Roman"/>
          <w:b w:val="false"/>
          <w:bCs w:val="false"/>
          <w:i w:val="false"/>
          <w:iCs w:val="false"/>
          <w:color w:val="000000"/>
          <w:sz w:val="22"/>
          <w:szCs w:val="22"/>
        </w:rPr>
        <w:t xml:space="preserve"> encodes new relational knowledge but is penalized by E</w:t>
      </w:r>
      <w:r>
        <w:rPr>
          <w:rFonts w:ascii="Times New Roman" w:cs="Times New Roman" w:eastAsia="Times New Roman" w:hAnsi="Times New Roman"/>
          <w:b w:val="false"/>
          <w:bCs w:val="false"/>
          <w:i w:val="false"/>
          <w:iCs w:val="false"/>
          <w:color w:val="000000"/>
          <w:sz w:val="22"/>
          <w:szCs w:val="22"/>
          <w:vertAlign w:val="subscript"/>
        </w:rPr>
        <w:t xml:space="preserve">test</w:t>
      </w:r>
      <w:r>
        <w:rPr>
          <w:rFonts w:ascii="Times New Roman" w:cs="Times New Roman" w:eastAsia="Times New Roman" w:hAnsi="Times New Roman"/>
          <w:b w:val="false"/>
          <w:bCs w:val="false"/>
          <w:i w:val="false"/>
          <w:iCs w:val="false"/>
          <w:color w:val="000000"/>
          <w:sz w:val="22"/>
          <w:szCs w:val="22"/>
        </w:rPr>
        <w:t xml:space="preserve"> constructed against H₀:</w:t>
      </w:r>
    </w:p>
    <w:p>
      <w:pPr>
        <w:spacing w:before="160" w:after="160"/>
        <w:jc w:val="center"/>
      </w:pPr>
      <w:r>
        <w:rPr>
          <w:rFonts w:ascii="Courier New" w:cs="Courier New" w:eastAsia="Courier New" w:hAnsi="Courier New"/>
          <w:color w:val="1A2E4A"/>
          <w:sz w:val="22"/>
          <w:szCs w:val="22"/>
        </w:rPr>
        <w:t xml:space="preserve">∂AUC_static / ∂‖δH‖ &lt; 0   (Normal mode)</w:t>
      </w:r>
    </w:p>
    <w:p>
      <w:pPr>
        <w:pStyle w:val="Heading2"/>
        <w:spacing w:before="240" w:after="80"/>
      </w:pPr>
      <w:r>
        <w:rPr>
          <w:rFonts w:ascii="Arial" w:cs="Arial" w:eastAsia="Arial" w:hAnsi="Arial"/>
          <w:b/>
          <w:bCs/>
          <w:color w:val="1A2E4A"/>
          <w:sz w:val="23"/>
          <w:szCs w:val="23"/>
        </w:rPr>
        <w:t xml:space="preserve">4.4 The Plasticity Tax: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8"/>
              <w:left w:val="thick" w:color="D4A017" w:sz="28"/>
              <w:bottom w:val="single" w:color="CCCCCC" w:sz="2"/>
              <w:right w:val="none" w:color="FFFFFF" w:sz="0"/>
            </w:tcBorders>
            <w:shd w:fill="FFF8E7"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b/>
                <w:bCs/>
                <w:i w:val="false"/>
                <w:iCs w:val="false"/>
                <w:color w:val="000000"/>
                <w:sz w:val="22"/>
                <w:szCs w:val="22"/>
              </w:rPr>
              <w:t xml:space="preserve">Plasticity Tax (Ψ): </w:t>
            </w:r>
            <w:r>
              <w:rPr>
                <w:rFonts w:ascii="Times New Roman" w:cs="Times New Roman" w:eastAsia="Times New Roman" w:hAnsi="Times New Roman"/>
                <w:b w:val="false"/>
                <w:bCs w:val="false"/>
                <w:i w:val="false"/>
                <w:iCs w:val="false"/>
                <w:color w:val="000000"/>
                <w:sz w:val="22"/>
                <w:szCs w:val="22"/>
              </w:rPr>
              <w:t xml:space="preserve">the temporary degradation in static evaluation metrics incurred by a generative system during active topological reorganization. Formally:</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Ψ(t) = M_static(H_0) − M_static(H_t),   t ∈ [0, T_consol]</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where T_consol is the onset of the consolidation window. Ψ is bounded, recoverable, and </w:t>
            </w:r>
          </w:p>
          <w:p>
            <w:pPr>
              <w:spacing w:before="0" w:after="70" w:line="280"/>
              <w:jc w:val="both"/>
            </w:pPr>
            <w:r>
              <w:rPr>
                <w:rFonts w:ascii="Times New Roman" w:cs="Times New Roman" w:eastAsia="Times New Roman" w:hAnsi="Times New Roman"/>
                <w:b/>
                <w:bCs/>
                <w:i w:val="false"/>
                <w:iCs w:val="false"/>
                <w:color w:val="000000"/>
                <w:sz w:val="22"/>
                <w:szCs w:val="22"/>
              </w:rPr>
              <w:t xml:space="preserve">proportional to the amount learned</w:t>
            </w:r>
            <w:r>
              <w:rPr>
                <w:rFonts w:ascii="Times New Roman" w:cs="Times New Roman" w:eastAsia="Times New Roman" w:hAnsi="Times New Roman"/>
                <w:b w:val="false"/>
                <w:bCs w:val="false"/>
                <w:i w:val="false"/>
                <w:iCs w:val="false"/>
                <w:color w:val="000000"/>
                <w:sz w:val="22"/>
                <w:szCs w:val="22"/>
              </w:rPr>
              <w:t xml:space="preserve">, not to damage sustained. Ψ &gt; 0 is the signature of learning, not failure.</w:t>
            </w:r>
          </w:p>
        </w:tc>
      </w:tr>
    </w:tbl>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consolidation window analysis demonstrates Ψ recovery: Normal NCA rises from dip to 0.241, surpassing Inverted (0.157) by +54%.</w:t>
      </w:r>
    </w:p>
    <w:p>
      <w:pPr>
        <w:pStyle w:val="Heading1"/>
        <w:pBdr>
          <w:bottom w:val="single" w:color="1A2E4A" w:sz="6" w:space="3"/>
        </w:pBdr>
        <w:spacing w:before="360" w:after="120"/>
      </w:pPr>
      <w:r>
        <w:rPr>
          <w:rFonts w:ascii="Arial" w:cs="Arial" w:eastAsia="Arial" w:hAnsi="Arial"/>
          <w:b/>
          <w:bCs/>
          <w:color w:val="1A2E4A"/>
          <w:sz w:val="26"/>
          <w:szCs w:val="26"/>
        </w:rPr>
        <w:t xml:space="preserve">5. Cognitive Yield: A Generation-Normalized Composite Metric</w:t>
      </w:r>
    </w:p>
    <w:p>
      <w:pPr>
        <w:pStyle w:val="Heading2"/>
        <w:spacing w:before="240" w:after="80"/>
      </w:pPr>
      <w:r>
        <w:rPr>
          <w:rFonts w:ascii="Arial" w:cs="Arial" w:eastAsia="Arial" w:hAnsi="Arial"/>
          <w:b/>
          <w:bCs/>
          <w:color w:val="1A2E4A"/>
          <w:sz w:val="23"/>
          <w:szCs w:val="23"/>
        </w:rPr>
        <w:t xml:space="preserve">5.1 Motivation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Off condition wins classical NCA by doing nothing. Any evaluation framework that allows a passive baseline to outperform cognitive agents on </w:t>
      </w:r>
      <w:r>
        <w:rPr>
          <w:rFonts w:ascii="Times New Roman" w:cs="Times New Roman" w:eastAsia="Times New Roman" w:hAnsi="Times New Roman"/>
          <w:b w:val="false"/>
          <w:bCs w:val="false"/>
          <w:i/>
          <w:iCs/>
          <w:color w:val="000000"/>
          <w:sz w:val="22"/>
          <w:szCs w:val="22"/>
        </w:rPr>
        <w:t xml:space="preserve">all</w:t>
      </w:r>
      <w:r>
        <w:rPr>
          <w:rFonts w:ascii="Times New Roman" w:cs="Times New Roman" w:eastAsia="Times New Roman" w:hAnsi="Times New Roman"/>
          <w:b w:val="false"/>
          <w:bCs w:val="false"/>
          <w:i w:val="false"/>
          <w:iCs w:val="false"/>
          <w:color w:val="000000"/>
          <w:sz w:val="22"/>
          <w:szCs w:val="22"/>
        </w:rPr>
        <w:t xml:space="preserve"> reported metrics has failed to measure what it claims. We require a metric where </w:t>
      </w:r>
      <w:r>
        <w:rPr>
          <w:rFonts w:ascii="Times New Roman" w:cs="Times New Roman" w:eastAsia="Times New Roman" w:hAnsi="Times New Roman"/>
          <w:b/>
          <w:bCs/>
          <w:i w:val="false"/>
          <w:iCs w:val="false"/>
          <w:color w:val="000000"/>
          <w:sz w:val="22"/>
          <w:szCs w:val="22"/>
        </w:rPr>
        <w:t xml:space="preserve">generative contribution is a prerequisite for scoring</w:t>
      </w:r>
      <w:r>
        <w:rPr>
          <w:rFonts w:ascii="Times New Roman" w:cs="Times New Roman" w:eastAsia="Times New Roman" w:hAnsi="Times New Roman"/>
          <w:b w:val="false"/>
          <w:bCs w:val="false"/>
          <w:i w:val="false"/>
          <w:iCs w:val="false"/>
          <w:color w:val="000000"/>
          <w:sz w:val="22"/>
          <w:szCs w:val="22"/>
        </w:rPr>
        <w:t xml:space="preserve">.</w:t>
      </w:r>
    </w:p>
    <w:p>
      <w:pPr>
        <w:pStyle w:val="Heading2"/>
        <w:spacing w:before="240" w:after="80"/>
      </w:pPr>
      <w:r>
        <w:rPr>
          <w:rFonts w:ascii="Arial" w:cs="Arial" w:eastAsia="Arial" w:hAnsi="Arial"/>
          <w:b/>
          <w:bCs/>
          <w:color w:val="1A2E4A"/>
          <w:sz w:val="23"/>
          <w:szCs w:val="23"/>
        </w:rPr>
        <w:t xml:space="preserve">5.2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8"/>
              <w:left w:val="thick" w:color="4A148C" w:sz="28"/>
              <w:bottom w:val="single" w:color="CCCCCC" w:sz="2"/>
              <w:right w:val="none" w:color="FFFFFF" w:sz="0"/>
            </w:tcBorders>
            <w:shd w:fill="F3E5F5"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b/>
                <w:bCs/>
                <w:i w:val="false"/>
                <w:iCs w:val="false"/>
                <w:color w:val="000000"/>
                <w:sz w:val="22"/>
                <w:szCs w:val="22"/>
              </w:rPr>
              <w:t xml:space="preserve">Cognitive Yield (Yₓ):</w:t>
            </w:r>
            <w:r>
              <w:rPr>
                <w:rFonts w:ascii="Times New Roman" w:cs="Times New Roman" w:eastAsia="Times New Roman" w:hAnsi="Times New Roman"/>
                <w:b w:val="false"/>
                <w:bCs w:val="false"/>
                <w:i w:val="false"/>
                <w:iCs w:val="false"/>
                <w:color w:val="000000"/>
                <w:sz w:val="22"/>
                <w:szCs w:val="22"/>
              </w:rPr>
              <w:t xml:space="preserve"> a composite metric that normalizes classification accuracy by the generative contribution of the system.</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Yₓ = NCA_consol × tanh(α · AUC_synth × |E_gen|)</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where α &gt; 0 is a scaling hyperparameter (default: α=1), AUC_synth is the age-filtered generative coherence AUC, and |E_gen| is the total number of edges generated over all cycles.</w:t>
            </w:r>
          </w:p>
        </w:tc>
      </w:tr>
    </w:tbl>
    <w:p>
      <w:pPr>
        <w:spacing w:before="80" w:after="0"/>
      </w:pPr>
      <w:r>
        <w:rPr>
          <w:rFonts w:ascii="Times New Roman" w:cs="Times New Roman" w:eastAsia="Times New Roman" w:hAnsi="Times New Roman"/>
          <w:b w:val="false"/>
          <w:bCs w:val="false"/>
          <w:i w:val="false"/>
          <w:iCs w:val="false"/>
          <w:color w:val="000000"/>
          <w:sz w:val="22"/>
          <w:szCs w:val="22"/>
        </w:rPr>
        <w:t xml:space="preserve"/>
      </w:r>
    </w:p>
    <w:p>
      <w:pPr>
        <w:pStyle w:val="Heading2"/>
        <w:spacing w:before="240" w:after="80"/>
      </w:pPr>
      <w:r>
        <w:rPr>
          <w:rFonts w:ascii="Arial" w:cs="Arial" w:eastAsia="Arial" w:hAnsi="Arial"/>
          <w:b/>
          <w:bCs/>
          <w:color w:val="1A2E4A"/>
          <w:sz w:val="23"/>
          <w:szCs w:val="23"/>
        </w:rPr>
        <w:t xml:space="preserve">5.3 Physics of the Equation</w:t>
      </w:r>
    </w:p>
    <w:p>
      <w:pPr>
        <w:spacing w:before="80" w:after="100" w:line="276"/>
        <w:jc w:val="both"/>
      </w:pPr>
      <w:r>
        <w:rPr>
          <w:rFonts w:ascii="Times New Roman" w:cs="Times New Roman" w:eastAsia="Times New Roman" w:hAnsi="Times New Roman"/>
          <w:b/>
          <w:bCs/>
          <w:i w:val="false"/>
          <w:iCs w:val="false"/>
          <w:color w:val="000000"/>
          <w:sz w:val="22"/>
          <w:szCs w:val="22"/>
        </w:rPr>
        <w:t xml:space="preserve">tanh saturation:</w:t>
      </w:r>
      <w:r>
        <w:rPr>
          <w:rFonts w:ascii="Times New Roman" w:cs="Times New Roman" w:eastAsia="Times New Roman" w:hAnsi="Times New Roman"/>
          <w:b w:val="false"/>
          <w:bCs w:val="false"/>
          <w:i w:val="false"/>
          <w:iCs w:val="false"/>
          <w:color w:val="000000"/>
          <w:sz w:val="22"/>
          <w:szCs w:val="22"/>
        </w:rPr>
        <w:t xml:space="preserve"> tanh is bounded in [0,1] and saturates for high-coherence systems, preventing a single dimension from dominating. A perfect generator (AUC_synth=1.0) is not penalized; a mediocre one is not rewarded.</w:t>
      </w:r>
    </w:p>
    <w:p>
      <w:pPr>
        <w:spacing w:before="80" w:after="100" w:line="276"/>
        <w:jc w:val="both"/>
      </w:pPr>
      <w:r>
        <w:rPr>
          <w:rFonts w:ascii="Times New Roman" w:cs="Times New Roman" w:eastAsia="Times New Roman" w:hAnsi="Times New Roman"/>
          <w:b/>
          <w:bCs/>
          <w:i w:val="false"/>
          <w:iCs w:val="false"/>
          <w:color w:val="000000"/>
          <w:sz w:val="22"/>
          <w:szCs w:val="22"/>
        </w:rPr>
        <w:t xml:space="preserve">Zero forcing:</w:t>
      </w:r>
      <w:r>
        <w:rPr>
          <w:rFonts w:ascii="Times New Roman" w:cs="Times New Roman" w:eastAsia="Times New Roman" w:hAnsi="Times New Roman"/>
          <w:b w:val="false"/>
          <w:bCs w:val="false"/>
          <w:i w:val="false"/>
          <w:iCs w:val="false"/>
          <w:color w:val="000000"/>
          <w:sz w:val="22"/>
          <w:szCs w:val="22"/>
        </w:rPr>
        <w:t xml:space="preserve"> if |E</w:t>
      </w:r>
      <w:r>
        <w:rPr>
          <w:rFonts w:ascii="Times New Roman" w:cs="Times New Roman" w:eastAsia="Times New Roman" w:hAnsi="Times New Roman"/>
          <w:b w:val="false"/>
          <w:bCs w:val="false"/>
          <w:i w:val="false"/>
          <w:iCs w:val="false"/>
          <w:color w:val="000000"/>
          <w:sz w:val="22"/>
          <w:szCs w:val="22"/>
          <w:vertAlign w:val="subscript"/>
        </w:rPr>
        <w:t xml:space="preserve">gen</w:t>
      </w:r>
      <w:r>
        <w:rPr>
          <w:rFonts w:ascii="Times New Roman" w:cs="Times New Roman" w:eastAsia="Times New Roman" w:hAnsi="Times New Roman"/>
          <w:b w:val="false"/>
          <w:bCs w:val="false"/>
          <w:i w:val="false"/>
          <w:iCs w:val="false"/>
          <w:color w:val="000000"/>
          <w:sz w:val="22"/>
          <w:szCs w:val="22"/>
        </w:rPr>
        <w:t xml:space="preserve">| = 0 (Off mode) or AUC</w:t>
      </w:r>
      <w:r>
        <w:rPr>
          <w:rFonts w:ascii="Times New Roman" w:cs="Times New Roman" w:eastAsia="Times New Roman" w:hAnsi="Times New Roman"/>
          <w:b w:val="false"/>
          <w:bCs w:val="false"/>
          <w:i w:val="false"/>
          <w:iCs w:val="false"/>
          <w:color w:val="000000"/>
          <w:sz w:val="22"/>
          <w:szCs w:val="22"/>
          <w:vertAlign w:val="subscript"/>
        </w:rPr>
        <w:t xml:space="preserve">synth</w:t>
      </w:r>
      <w:r>
        <w:rPr>
          <w:rFonts w:ascii="Times New Roman" w:cs="Times New Roman" w:eastAsia="Times New Roman" w:hAnsi="Times New Roman"/>
          <w:b w:val="false"/>
          <w:bCs w:val="false"/>
          <w:i w:val="false"/>
          <w:iCs w:val="false"/>
          <w:color w:val="000000"/>
          <w:sz w:val="22"/>
          <w:szCs w:val="22"/>
        </w:rPr>
        <w:t xml:space="preserve"> ≈ 0 (catastrophically incoherent Inverted), the tanh argument → 0, tanh → 0, and Yₓ → 0 regardless of NCA. The passive baseline is mathematically eliminated from the competitive space.</w:t>
      </w:r>
    </w:p>
    <w:p>
      <w:pPr>
        <w:spacing w:before="80" w:after="100" w:line="276"/>
        <w:jc w:val="both"/>
      </w:pPr>
      <w:r>
        <w:rPr>
          <w:rFonts w:ascii="Times New Roman" w:cs="Times New Roman" w:eastAsia="Times New Roman" w:hAnsi="Times New Roman"/>
          <w:b/>
          <w:bCs/>
          <w:i w:val="false"/>
          <w:iCs w:val="false"/>
          <w:color w:val="000000"/>
          <w:sz w:val="22"/>
          <w:szCs w:val="22"/>
        </w:rPr>
        <w:t xml:space="preserve">Proportionality:</w:t>
      </w:r>
      <w:r>
        <w:rPr>
          <w:rFonts w:ascii="Times New Roman" w:cs="Times New Roman" w:eastAsia="Times New Roman" w:hAnsi="Times New Roman"/>
          <w:b w:val="false"/>
          <w:bCs w:val="false"/>
          <w:i w:val="false"/>
          <w:iCs w:val="false"/>
          <w:color w:val="000000"/>
          <w:sz w:val="22"/>
          <w:szCs w:val="22"/>
        </w:rPr>
        <w:t xml:space="preserve"> Yₓ ∝ NCA</w:t>
      </w:r>
      <w:r>
        <w:rPr>
          <w:rFonts w:ascii="Times New Roman" w:cs="Times New Roman" w:eastAsia="Times New Roman" w:hAnsi="Times New Roman"/>
          <w:b w:val="false"/>
          <w:bCs w:val="false"/>
          <w:i w:val="false"/>
          <w:iCs w:val="false"/>
          <w:color w:val="000000"/>
          <w:sz w:val="22"/>
          <w:szCs w:val="22"/>
          <w:vertAlign w:val="subscript"/>
        </w:rPr>
        <w:t xml:space="preserve">consol</w:t>
      </w:r>
      <w:r>
        <w:rPr>
          <w:rFonts w:ascii="Times New Roman" w:cs="Times New Roman" w:eastAsia="Times New Roman" w:hAnsi="Times New Roman"/>
          <w:b w:val="false"/>
          <w:bCs w:val="false"/>
          <w:i w:val="false"/>
          <w:iCs w:val="false"/>
          <w:color w:val="000000"/>
          <w:sz w:val="22"/>
          <w:szCs w:val="22"/>
        </w:rPr>
        <w:t xml:space="preserve"> for high-quality generators, preserving the classification signal for systems that earn it.</w:t>
      </w:r>
    </w:p>
    <w:p>
      <w:pPr>
        <w:pStyle w:val="Heading2"/>
        <w:spacing w:before="240" w:after="80"/>
      </w:pPr>
      <w:r>
        <w:rPr>
          <w:rFonts w:ascii="Arial" w:cs="Arial" w:eastAsia="Arial" w:hAnsi="Arial"/>
          <w:b/>
          <w:bCs/>
          <w:color w:val="1A2E4A"/>
          <w:sz w:val="23"/>
          <w:szCs w:val="23"/>
        </w:rPr>
        <w:t xml:space="preserve">5.4 Empirical Results</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thick" w:color="1B5E20" w:sz="28"/>
              <w:bottom w:val="single" w:color="CCCCCC" w:sz="2"/>
              <w:right w:val="none" w:color="FFFFFF" w:sz="0"/>
            </w:tcBorders>
            <w:shd w:fill="F1F8E9"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b/>
                <w:bCs/>
                <w:i w:val="false"/>
                <w:iCs w:val="false"/>
                <w:color w:val="000000"/>
                <w:sz w:val="22"/>
                <w:szCs w:val="22"/>
              </w:rPr>
              <w:t xml:space="preserve">Normal:  Yₓ = 0.241 × tanh(1 × 0.975 × |E_gen|)</w:t>
            </w:r>
            <w:r>
              <w:rPr>
                <w:rFonts w:ascii="Times New Roman" w:cs="Times New Roman" w:eastAsia="Times New Roman" w:hAnsi="Times New Roman"/>
                <w:b w:val="false"/>
                <w:bCs w:val="false"/>
                <w:i w:val="false"/>
                <w:iCs w:val="false"/>
                <w:color w:val="000000"/>
                <w:sz w:val="22"/>
                <w:szCs w:val="22"/>
              </w:rPr>
              <w:t xml:space="preserve">  ≈  0.230   (absorbs ~95% of NCA_consol)</w:t>
            </w:r>
          </w:p>
          <w:p>
            <w:pPr>
              <w:spacing w:before="0" w:after="70" w:line="280"/>
              <w:jc w:val="both"/>
            </w:pPr>
            <w:r>
              <w:rPr>
                <w:rFonts w:ascii="Times New Roman" w:cs="Times New Roman" w:eastAsia="Times New Roman" w:hAnsi="Times New Roman"/>
                <w:b/>
                <w:bCs/>
                <w:i w:val="false"/>
                <w:iCs w:val="false"/>
                <w:color w:val="000000"/>
                <w:sz w:val="22"/>
                <w:szCs w:val="22"/>
              </w:rPr>
              <w:t xml:space="preserve">Off:     Yₓ = 0.257 × tanh(1 × N/A   × 0)</w:t>
            </w:r>
            <w:r>
              <w:rPr>
                <w:rFonts w:ascii="Times New Roman" w:cs="Times New Roman" w:eastAsia="Times New Roman" w:hAnsi="Times New Roman"/>
                <w:b w:val="false"/>
                <w:bCs w:val="false"/>
                <w:i w:val="false"/>
                <w:iCs w:val="false"/>
                <w:color w:val="000000"/>
                <w:sz w:val="22"/>
                <w:szCs w:val="22"/>
              </w:rPr>
              <w:t xml:space="preserve">  =  0.000   (exactly zero; no edges generated)</w:t>
            </w:r>
          </w:p>
          <w:p>
            <w:pPr>
              <w:spacing w:before="0" w:after="70" w:line="280"/>
              <w:jc w:val="both"/>
            </w:pPr>
            <w:r>
              <w:rPr>
                <w:rFonts w:ascii="Times New Roman" w:cs="Times New Roman" w:eastAsia="Times New Roman" w:hAnsi="Times New Roman"/>
                <w:b/>
                <w:bCs/>
                <w:i w:val="false"/>
                <w:iCs w:val="false"/>
                <w:color w:val="000000"/>
                <w:sz w:val="22"/>
                <w:szCs w:val="22"/>
              </w:rPr>
              <w:t xml:space="preserve">Inverted:Yₓ = 0.157 × tanh(1 × 0.090 × |E_gen|)</w:t>
            </w:r>
            <w:r>
              <w:rPr>
                <w:rFonts w:ascii="Times New Roman" w:cs="Times New Roman" w:eastAsia="Times New Roman" w:hAnsi="Times New Roman"/>
                <w:b w:val="false"/>
                <w:bCs w:val="false"/>
                <w:i w:val="false"/>
                <w:iCs w:val="false"/>
                <w:color w:val="000000"/>
                <w:sz w:val="22"/>
                <w:szCs w:val="22"/>
              </w:rPr>
              <w:t xml:space="preserve">  ≈  0.022   (~14% of NCA_consol; penalized for incoherence)</w:t>
            </w:r>
          </w:p>
        </w:tc>
      </w:tr>
    </w:tbl>
    <w:p>
      <w:pPr>
        <w:spacing w:before="80" w:after="0"/>
      </w:pPr>
      <w:r>
        <w:rPr>
          <w:rFonts w:ascii="Times New Roman" w:cs="Times New Roman" w:eastAsia="Times New Roman" w:hAnsi="Times New Roman"/>
          <w:b w:val="false"/>
          <w:bCs w:val="false"/>
          <w:i w:val="false"/>
          <w:iCs w:val="false"/>
          <w:color w:val="000000"/>
          <w:sz w:val="22"/>
          <w:szCs w:val="22"/>
        </w:rPr>
        <w:t xml:space="preserve"/>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Yₓ ordering is: Normal (0.230) ≫ Off (0.000) ≫ Inverted (0.022). </w:t>
      </w:r>
      <w:r>
        <w:rPr>
          <w:rFonts w:ascii="Times New Roman" w:cs="Times New Roman" w:eastAsia="Times New Roman" w:hAnsi="Times New Roman"/>
          <w:b/>
          <w:bCs/>
          <w:i w:val="false"/>
          <w:iCs w:val="false"/>
          <w:color w:val="000000"/>
          <w:sz w:val="22"/>
          <w:szCs w:val="22"/>
        </w:rPr>
        <w:t xml:space="preserve">The stone scores zero. The vandal scores near zero. The architect scores.</w:t>
      </w:r>
      <w:r>
        <w:rPr>
          <w:rFonts w:ascii="Times New Roman" w:cs="Times New Roman" w:eastAsia="Times New Roman" w:hAnsi="Times New Roman"/>
          <w:b w:val="false"/>
          <w:bCs w:val="false"/>
          <w:i w:val="false"/>
          <w:iCs w:val="false"/>
          <w:color w:val="000000"/>
          <w:sz w:val="22"/>
          <w:szCs w:val="22"/>
        </w:rPr>
        <w:t xml:space="preserve"> This is the correct ranking under a metric that demands contribution.</w:t>
      </w:r>
    </w:p>
    <w:p>
      <w:pPr>
        <w:pStyle w:val="Heading2"/>
        <w:spacing w:before="240" w:after="80"/>
      </w:pPr>
      <w:r>
        <w:rPr>
          <w:rFonts w:ascii="Arial" w:cs="Arial" w:eastAsia="Arial" w:hAnsi="Arial"/>
          <w:b/>
          <w:bCs/>
          <w:color w:val="1A2E4A"/>
          <w:sz w:val="23"/>
          <w:szCs w:val="23"/>
        </w:rPr>
        <w:t xml:space="preserve">5.5 Selecting α</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hyperparameter α controls the tanh saturation point. For α=1 with |E</w:t>
      </w:r>
      <w:r>
        <w:rPr>
          <w:rFonts w:ascii="Times New Roman" w:cs="Times New Roman" w:eastAsia="Times New Roman" w:hAnsi="Times New Roman"/>
          <w:b w:val="false"/>
          <w:bCs w:val="false"/>
          <w:i w:val="false"/>
          <w:iCs w:val="false"/>
          <w:color w:val="000000"/>
          <w:sz w:val="22"/>
          <w:szCs w:val="22"/>
          <w:vertAlign w:val="subscript"/>
        </w:rPr>
        <w:t xml:space="preserve">gen</w:t>
      </w:r>
      <w:r>
        <w:rPr>
          <w:rFonts w:ascii="Times New Roman" w:cs="Times New Roman" w:eastAsia="Times New Roman" w:hAnsi="Times New Roman"/>
          <w:b w:val="false"/>
          <w:bCs w:val="false"/>
          <w:i w:val="false"/>
          <w:iCs w:val="false"/>
          <w:color w:val="000000"/>
          <w:sz w:val="22"/>
          <w:szCs w:val="22"/>
        </w:rPr>
        <w:t xml:space="preserve">| in the hundreds (typical for 100-cycle runs), tanh saturates quickly for Normal (AUC_synth=0.975), producing near-full credit. For sensitivity analysis: α ∈ [0.1, 10] produces qualitatively identical rankings since the order is driven by the discrete 0 at |E</w:t>
      </w:r>
      <w:r>
        <w:rPr>
          <w:rFonts w:ascii="Times New Roman" w:cs="Times New Roman" w:eastAsia="Times New Roman" w:hAnsi="Times New Roman"/>
          <w:b w:val="false"/>
          <w:bCs w:val="false"/>
          <w:i w:val="false"/>
          <w:iCs w:val="false"/>
          <w:color w:val="000000"/>
          <w:sz w:val="22"/>
          <w:szCs w:val="22"/>
          <w:vertAlign w:val="subscript"/>
        </w:rPr>
        <w:t xml:space="preserve">gen</w:t>
      </w:r>
      <w:r>
        <w:rPr>
          <w:rFonts w:ascii="Times New Roman" w:cs="Times New Roman" w:eastAsia="Times New Roman" w:hAnsi="Times New Roman"/>
          <w:b w:val="false"/>
          <w:bCs w:val="false"/>
          <w:i w:val="false"/>
          <w:iCs w:val="false"/>
          <w:color w:val="000000"/>
          <w:sz w:val="22"/>
          <w:szCs w:val="22"/>
        </w:rPr>
        <w:t xml:space="preserve">| = 0 for Off. We report α=1 as the default.</w:t>
      </w:r>
    </w:p>
    <w:p>
      <w:pPr>
        <w:pStyle w:val="Heading1"/>
        <w:pBdr>
          <w:bottom w:val="single" w:color="1A2E4A" w:sz="6" w:space="3"/>
        </w:pBdr>
        <w:spacing w:before="360" w:after="120"/>
      </w:pPr>
      <w:r>
        <w:rPr>
          <w:rFonts w:ascii="Arial" w:cs="Arial" w:eastAsia="Arial" w:hAnsi="Arial"/>
          <w:b/>
          <w:bCs/>
          <w:color w:val="1A2E4A"/>
          <w:sz w:val="26"/>
          <w:szCs w:val="26"/>
        </w:rPr>
        <w:t xml:space="preserve">6. Complete Empirical Results</w:t>
      </w:r>
    </w:p>
    <w:p>
      <w:pPr>
        <w:pStyle w:val="Heading2"/>
        <w:spacing w:before="240" w:after="80"/>
      </w:pPr>
      <w:r>
        <w:rPr>
          <w:rFonts w:ascii="Arial" w:cs="Arial" w:eastAsia="Arial" w:hAnsi="Arial"/>
          <w:b/>
          <w:bCs/>
          <w:color w:val="1A2E4A"/>
          <w:sz w:val="23"/>
          <w:szCs w:val="23"/>
        </w:rPr>
        <w:t xml:space="preserve">6.1 Experimental Setup</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Dataset: </w:t>
      </w:r>
      <w:r>
        <w:rPr>
          <w:rFonts w:ascii="Times New Roman" w:cs="Times New Roman" w:eastAsia="Times New Roman" w:hAnsi="Times New Roman"/>
          <w:b w:val="false"/>
          <w:bCs w:val="false"/>
          <w:i w:val="false"/>
          <w:iCs w:val="false"/>
          <w:color w:val="000000"/>
          <w:sz w:val="22"/>
          <w:szCs w:val="22"/>
        </w:rPr>
        <w:t xml:space="preserve">Cora (2,708 nodes, 5,429 edges, 7 classes)</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Hardware: </w:t>
      </w:r>
      <w:r>
        <w:rPr>
          <w:rFonts w:ascii="Times New Roman" w:cs="Times New Roman" w:eastAsia="Times New Roman" w:hAnsi="Times New Roman"/>
          <w:b w:val="false"/>
          <w:bCs w:val="false"/>
          <w:i w:val="false"/>
          <w:iCs w:val="false"/>
          <w:color w:val="000000"/>
          <w:sz w:val="22"/>
          <w:szCs w:val="22"/>
        </w:rPr>
        <w:t xml:space="preserve">NVIDIA L4 GPU, CUDA batch Poincaré distance (~430–620 ms/cycle, 96% GPU kernel)</w:t>
      </w:r>
    </w:p>
    <w:p>
      <w:pPr>
        <w:pStyle w:val="ListParagraph"/>
        <w:numPr>
          <w:ilvl w:val="0"/>
          <w:numId w:val="3"/>
        </w:numPr>
        <w:spacing w:before="60" w:after="60" w:line="270"/>
      </w:pPr>
      <w:r>
        <w:rPr>
          <w:rFonts w:ascii="Times New Roman" w:cs="Times New Roman" w:eastAsia="Times New Roman" w:hAnsi="Times New Roman"/>
          <w:b/>
          <w:bCs/>
          <w:i w:val="false"/>
          <w:iCs w:val="false"/>
          <w:color w:val="000000"/>
          <w:sz w:val="22"/>
          <w:szCs w:val="22"/>
        </w:rPr>
        <w:t xml:space="preserve">Protocol: </w:t>
      </w:r>
      <w:r>
        <w:rPr>
          <w:rFonts w:ascii="Times New Roman" w:cs="Times New Roman" w:eastAsia="Times New Roman" w:hAnsi="Times New Roman"/>
          <w:b w:val="false"/>
          <w:bCs w:val="false"/>
          <w:i w:val="false"/>
          <w:iCs w:val="false"/>
          <w:color w:val="000000"/>
          <w:sz w:val="22"/>
          <w:szCs w:val="22"/>
        </w:rPr>
        <w:t xml:space="preserve">100 cycles per condition, 3 independent runs. AUC_synth: age filter τ=3, N_Cora negatives. NCA: stratified 3-fold CV. Consolidation: cycles 80–100.</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60"/>
        <w:gridCol w:w="1160"/>
        <w:gridCol w:w="1160"/>
        <w:gridCol w:w="1280"/>
        <w:gridCol w:w="1400"/>
      </w:tblGrid>
      <w:tr>
        <w:trPr>
          <w:tblHeader/>
        </w:trPr>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Condition</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AUC_synth
(τ=3)</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Δh</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NCA
cons.</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NCA
final</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Fossil
AUC</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Yc
(α=1)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2E7D32"/>
                <w:sz w:val="20"/>
                <w:szCs w:val="20"/>
              </w:rPr>
              <w:t xml:space="preserve">Normal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2E7D32"/>
                <w:sz w:val="20"/>
                <w:szCs w:val="20"/>
              </w:rPr>
              <w:t xml:space="preserve">0.975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2E7D32"/>
                <w:sz w:val="20"/>
                <w:szCs w:val="20"/>
              </w:rPr>
              <w:t xml:space="preserve">+0.40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0.241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0.234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0.866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2E7D32"/>
                <w:sz w:val="20"/>
                <w:szCs w:val="20"/>
              </w:rPr>
              <w:t xml:space="preserve">0.230</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Times New Roman" w:cs="Times New Roman" w:eastAsia="Times New Roman" w:hAnsi="Times New Roman"/>
                <w:color w:val="888888"/>
                <w:sz w:val="20"/>
                <w:szCs w:val="20"/>
              </w:rPr>
              <w:t xml:space="preserve">Off</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888888"/>
                <w:sz w:val="20"/>
                <w:szCs w:val="20"/>
              </w:rPr>
              <w:t xml:space="preserve">N/A</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888888"/>
                <w:sz w:val="20"/>
                <w:szCs w:val="20"/>
              </w:rPr>
              <w:t xml:space="preserve">N/A</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0.257</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0.254</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0.900</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bCs/>
                <w:color w:val="C62828"/>
                <w:sz w:val="20"/>
                <w:szCs w:val="20"/>
              </w:rPr>
              <w:t xml:space="preserve">0.000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C62828"/>
                <w:sz w:val="20"/>
                <w:szCs w:val="20"/>
              </w:rPr>
              <w:t xml:space="preserve">Inverted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C62828"/>
                <w:sz w:val="20"/>
                <w:szCs w:val="20"/>
              </w:rPr>
              <w:t xml:space="preserve">0.090</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C62828"/>
                <w:sz w:val="20"/>
                <w:szCs w:val="20"/>
              </w:rPr>
              <w:t xml:space="preserve">+0.45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C62828"/>
                <w:sz w:val="20"/>
                <w:szCs w:val="20"/>
              </w:rPr>
              <w:t xml:space="preserve">0.157</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C62828"/>
                <w:sz w:val="20"/>
                <w:szCs w:val="20"/>
              </w:rPr>
              <w:t xml:space="preserve">0.158</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0.891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C62828"/>
                <w:sz w:val="20"/>
                <w:szCs w:val="20"/>
              </w:rPr>
              <w:t xml:space="preserve">~0.022</w:t>
            </w:r>
          </w:p>
        </w:tc>
      </w:tr>
      <w:tr>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b/>
                <w:bCs/>
                <w:color w:val="1A2E4A"/>
                <w:sz w:val="20"/>
                <w:szCs w:val="20"/>
              </w:rPr>
              <w:t xml:space="preserve">Verdict</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N≫I</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N&gt;I</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N&gt;I</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N&gt;I</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Arial" w:cs="Arial" w:eastAsia="Arial" w:hAnsi="Arial"/>
                <w:b/>
                <w:bCs/>
                <w:color w:val="888888"/>
                <w:sz w:val="20"/>
                <w:szCs w:val="20"/>
              </w:rPr>
              <w:t xml:space="preserve">O&gt;I≈N</w:t>
            </w:r>
          </w:p>
        </w:tc>
        <w:tc>
          <w:tcPr>
            <w:tcBorders>
              <w:top w:val="double" w:color="1A2E4A" w:sz="6"/>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N≫O≫I</w:t>
            </w:r>
          </w:p>
        </w:tc>
      </w:tr>
    </w:tbl>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40" w:after="120" w:line="276"/>
        <w:jc w:val="center"/>
      </w:pPr>
      <w:r>
        <w:rPr>
          <w:rFonts w:ascii="Times New Roman" w:cs="Times New Roman" w:eastAsia="Times New Roman" w:hAnsi="Times New Roman"/>
          <w:b w:val="false"/>
          <w:bCs w:val="false"/>
          <w:i/>
          <w:iCs/>
          <w:color w:val="000000"/>
          <w:sz w:val="22"/>
          <w:szCs w:val="22"/>
        </w:rPr>
        <w:t xml:space="preserve">Table 1.</w:t>
      </w:r>
      <w:r>
        <w:rPr>
          <w:rFonts w:ascii="Times New Roman" w:cs="Times New Roman" w:eastAsia="Times New Roman" w:hAnsi="Times New Roman"/>
          <w:b w:val="false"/>
          <w:bCs w:val="false"/>
          <w:i w:val="false"/>
          <w:iCs w:val="false"/>
          <w:color w:val="000000"/>
          <w:sz w:val="22"/>
          <w:szCs w:val="22"/>
        </w:rPr>
        <w:t xml:space="preserve"> Complete results including Cognitive Yield Yₓ (α=1). * Off generates no edges; AUC_synth, Δh, and Yₓ are structurally zero/undefined.</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p>
      <w:pPr>
        <w:pStyle w:val="Heading2"/>
        <w:spacing w:before="240" w:after="80"/>
      </w:pPr>
      <w:r>
        <w:rPr>
          <w:rFonts w:ascii="Arial" w:cs="Arial" w:eastAsia="Arial" w:hAnsi="Arial"/>
          <w:b/>
          <w:bCs/>
          <w:color w:val="1A2E4A"/>
          <w:sz w:val="23"/>
          <w:szCs w:val="23"/>
        </w:rPr>
        <w:t xml:space="preserve">6.2 Finding 1: Generative Coherence — 10×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thick" w:color="1B5E20" w:sz="28"/>
              <w:bottom w:val="single" w:color="CCCCCC" w:sz="2"/>
              <w:right w:val="none" w:color="FFFFFF" w:sz="0"/>
            </w:tcBorders>
            <w:shd w:fill="F1F8E9"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b/>
                <w:bCs/>
                <w:i w:val="false"/>
                <w:iCs w:val="false"/>
                <w:color w:val="000000"/>
                <w:sz w:val="22"/>
                <w:szCs w:val="22"/>
              </w:rPr>
              <w:t xml:space="preserve">Normal: AUC_synth = 0.975</w:t>
            </w:r>
            <w:r>
              <w:rPr>
                <w:rFonts w:ascii="Times New Roman" w:cs="Times New Roman" w:eastAsia="Times New Roman" w:hAnsi="Times New Roman"/>
                <w:b w:val="false"/>
                <w:bCs w:val="false"/>
                <w:i w:val="false"/>
                <w:iCs w:val="false"/>
                <w:color w:val="000000"/>
                <w:sz w:val="22"/>
                <w:szCs w:val="22"/>
              </w:rPr>
              <w:t xml:space="preserve"> — elite-anchored edges connect geometrically proximate nodes. Mature nodes (age ≥ 3) produce near-perfect link scores.</w:t>
            </w:r>
          </w:p>
          <w:p>
            <w:pPr>
              <w:spacing w:before="0" w:after="70" w:line="280"/>
              <w:jc w:val="both"/>
            </w:pPr>
            <w:r>
              <w:rPr>
                <w:rFonts w:ascii="Times New Roman" w:cs="Times New Roman" w:eastAsia="Times New Roman" w:hAnsi="Times New Roman"/>
                <w:b/>
                <w:bCs/>
                <w:i w:val="false"/>
                <w:iCs w:val="false"/>
                <w:color w:val="000000"/>
                <w:sz w:val="22"/>
                <w:szCs w:val="22"/>
              </w:rPr>
              <w:t xml:space="preserve">Inverted: AUC_synth = 0.090</w:t>
            </w:r>
            <w:r>
              <w:rPr>
                <w:rFonts w:ascii="Times New Roman" w:cs="Times New Roman" w:eastAsia="Times New Roman" w:hAnsi="Times New Roman"/>
                <w:b w:val="false"/>
                <w:bCs w:val="false"/>
                <w:i w:val="false"/>
                <w:iCs w:val="false"/>
                <w:color w:val="000000"/>
                <w:sz w:val="22"/>
                <w:szCs w:val="22"/>
              </w:rPr>
              <w:t xml:space="preserve"> — peripheral edges connect semantically dispersed nodes. Below random baseline. The system learns geometric incoherence.</w:t>
            </w:r>
          </w:p>
          <w:p>
            <w:pPr>
              <w:spacing w:before="0" w:after="70" w:line="280"/>
              <w:jc w:val="both"/>
            </w:pPr>
            <w:r>
              <w:rPr>
                <w:rFonts w:ascii="Times New Roman" w:cs="Times New Roman" w:eastAsia="Times New Roman" w:hAnsi="Times New Roman"/>
                <w:b/>
                <w:bCs/>
                <w:i w:val="false"/>
                <w:iCs w:val="false"/>
                <w:color w:val="000000"/>
                <w:sz w:val="22"/>
                <w:szCs w:val="22"/>
              </w:rPr>
              <w:t xml:space="preserve">Separation: 10.8×.</w:t>
            </w:r>
            <w:r>
              <w:rPr>
                <w:rFonts w:ascii="Times New Roman" w:cs="Times New Roman" w:eastAsia="Times New Roman" w:hAnsi="Times New Roman"/>
                <w:b w:val="false"/>
                <w:bCs w:val="false"/>
                <w:i w:val="false"/>
                <w:iCs w:val="false"/>
                <w:color w:val="000000"/>
                <w:sz w:val="22"/>
                <w:szCs w:val="22"/>
              </w:rPr>
              <w:t xml:space="preserve"> This is a verdict, not a margin.</w:t>
            </w:r>
          </w:p>
        </w:tc>
      </w:tr>
    </w:tbl>
    <w:p>
      <w:pPr>
        <w:pStyle w:val="Heading2"/>
        <w:spacing w:before="240" w:after="80"/>
      </w:pPr>
      <w:r>
        <w:rPr>
          <w:rFonts w:ascii="Arial" w:cs="Arial" w:eastAsia="Arial" w:hAnsi="Arial"/>
          <w:b/>
          <w:bCs/>
          <w:color w:val="1A2E4A"/>
          <w:sz w:val="23"/>
          <w:szCs w:val="23"/>
        </w:rPr>
        <w:t xml:space="preserve">6.3 Finding 2: Plasticity Tax and Recovery</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Normal mode mid-cycle NCA dip confirms Ψ &gt; 0 during active reorganization. Consolidation window (cycles 80–100): Normal NCA (0.241) &gt; Inverted NCA (0.157) by +54%. </w:t>
      </w:r>
      <w:r>
        <w:rPr>
          <w:rFonts w:ascii="Times New Roman" w:cs="Times New Roman" w:eastAsia="Times New Roman" w:hAnsi="Times New Roman"/>
          <w:b/>
          <w:bCs/>
          <w:i w:val="false"/>
          <w:iCs w:val="false"/>
          <w:color w:val="000000"/>
          <w:sz w:val="22"/>
          <w:szCs w:val="22"/>
        </w:rPr>
        <w:t xml:space="preserve">Ψ is recoverable</w:t>
      </w:r>
      <w:r>
        <w:rPr>
          <w:rFonts w:ascii="Times New Roman" w:cs="Times New Roman" w:eastAsia="Times New Roman" w:hAnsi="Times New Roman"/>
          <w:b w:val="false"/>
          <w:bCs w:val="false"/>
          <w:i w:val="false"/>
          <w:iCs w:val="false"/>
          <w:color w:val="000000"/>
          <w:sz w:val="22"/>
          <w:szCs w:val="22"/>
        </w:rPr>
        <w:t xml:space="preserve">. The reorganized embedding space is more semantically coherent than the catabolic space produced by Inverted mode.</w:t>
      </w:r>
    </w:p>
    <w:p>
      <w:pPr>
        <w:pStyle w:val="Heading2"/>
        <w:spacing w:before="240" w:after="80"/>
      </w:pPr>
      <w:r>
        <w:rPr>
          <w:rFonts w:ascii="Arial" w:cs="Arial" w:eastAsia="Arial" w:hAnsi="Arial"/>
          <w:b/>
          <w:bCs/>
          <w:color w:val="1A2E4A"/>
          <w:sz w:val="23"/>
          <w:szCs w:val="23"/>
        </w:rPr>
        <w:t xml:space="preserve">6.4 Finding 3: Cognitive Yield Eliminates the Off Paradox</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Off’s NCA advantage (0.257 vs. 0.241) is not cognitive superiority — it is the absence of Laplacian perturbation. Under Yₓ, Off scores exactly 0.000. The paradox disappears: </w:t>
      </w:r>
      <w:r>
        <w:rPr>
          <w:rFonts w:ascii="Times New Roman" w:cs="Times New Roman" w:eastAsia="Times New Roman" w:hAnsi="Times New Roman"/>
          <w:b/>
          <w:bCs/>
          <w:i w:val="false"/>
          <w:iCs w:val="false"/>
          <w:color w:val="000000"/>
          <w:sz w:val="22"/>
          <w:szCs w:val="22"/>
        </w:rPr>
        <w:t xml:space="preserve">a system that contributes nothing cannot claim credit for what it preserved.</w:t>
      </w:r>
    </w:p>
    <w:p>
      <w:pPr>
        <w:pStyle w:val="Heading2"/>
        <w:spacing w:before="240" w:after="80"/>
      </w:pPr>
      <w:r>
        <w:rPr>
          <w:rFonts w:ascii="Arial" w:cs="Arial" w:eastAsia="Arial" w:hAnsi="Arial"/>
          <w:b/>
          <w:bCs/>
          <w:color w:val="1A2E4A"/>
          <w:sz w:val="23"/>
          <w:szCs w:val="23"/>
        </w:rPr>
        <w:t xml:space="preserve">6.5 Finding 4: Universal TGC Law</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fundamental law ∂AUC/∂TGC &gt; 0 (r = 0.697, p = 5.7×10</w:t>
      </w:r>
      <w:r>
        <w:rPr>
          <w:rFonts w:ascii="Times New Roman" w:cs="Times New Roman" w:eastAsia="Times New Roman" w:hAnsi="Times New Roman"/>
          <w:b w:val="false"/>
          <w:bCs w:val="false"/>
          <w:i w:val="false"/>
          <w:iCs w:val="false"/>
          <w:color w:val="000000"/>
          <w:sz w:val="22"/>
          <w:szCs w:val="22"/>
          <w:vertAlign w:val="superscript"/>
        </w:rPr>
        <w:t xml:space="preserve">⁻⁴⁵</w:t>
      </w:r>
      <w:r>
        <w:rPr>
          <w:rFonts w:ascii="Times New Roman" w:cs="Times New Roman" w:eastAsia="Times New Roman" w:hAnsi="Times New Roman"/>
          <w:b w:val="false"/>
          <w:bCs w:val="false"/>
          <w:i w:val="false"/>
          <w:iCs w:val="false"/>
          <w:color w:val="000000"/>
          <w:sz w:val="22"/>
          <w:szCs w:val="22"/>
        </w:rPr>
        <w:t xml:space="preserve">, r &gt; 0.84 per condition) is the bedrock. TGC is the order parameter of the system, predicting inferential performance across all operational modes.</w:t>
      </w:r>
    </w:p>
    <w:p>
      <w:pPr>
        <w:pStyle w:val="Heading1"/>
        <w:pBdr>
          <w:bottom w:val="single" w:color="1A2E4A" w:sz="6" w:space="3"/>
        </w:pBdr>
        <w:spacing w:before="360" w:after="120"/>
      </w:pPr>
      <w:r>
        <w:rPr>
          <w:rFonts w:ascii="Arial" w:cs="Arial" w:eastAsia="Arial" w:hAnsi="Arial"/>
          <w:b/>
          <w:bCs/>
          <w:color w:val="1A2E4A"/>
          <w:sz w:val="26"/>
          <w:szCs w:val="26"/>
        </w:rPr>
        <w:t xml:space="preserve">7. The Orthogonal Evaluation Framework</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principal methodological contribution is a </w:t>
      </w:r>
      <w:r>
        <w:rPr>
          <w:rFonts w:ascii="Times New Roman" w:cs="Times New Roman" w:eastAsia="Times New Roman" w:hAnsi="Times New Roman"/>
          <w:b/>
          <w:bCs/>
          <w:i w:val="false"/>
          <w:iCs w:val="false"/>
          <w:color w:val="000000"/>
          <w:sz w:val="22"/>
          <w:szCs w:val="22"/>
        </w:rPr>
        <w:t xml:space="preserve">framework of five irreducible evaluation axes</w:t>
      </w:r>
      <w:r>
        <w:rPr>
          <w:rFonts w:ascii="Times New Roman" w:cs="Times New Roman" w:eastAsia="Times New Roman" w:hAnsi="Times New Roman"/>
          <w:b w:val="false"/>
          <w:bCs w:val="false"/>
          <w:i w:val="false"/>
          <w:iCs w:val="false"/>
          <w:color w:val="000000"/>
          <w:sz w:val="22"/>
          <w:szCs w:val="22"/>
        </w:rPr>
        <w:t xml:space="preserve">. No single axis subsumes the others. Conflating them produces systematic misranking.</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660"/>
      </w:tblGrid>
      <w:tr>
        <w:trPr>
          <w:tblHeader/>
        </w:trPr>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Evaluation Axis</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Ranking</w:t>
            </w:r>
          </w:p>
        </w:tc>
        <w:tc>
          <w:tcPr>
            <w:tcBorders>
              <w:top w:val="single" w:color="CCCCCC" w:sz="1"/>
              <w:left w:val="single" w:color="CCCCCC" w:sz="1"/>
              <w:bottom w:val="single" w:color="CCCCCC" w:sz="1"/>
              <w:right w:val="single" w:color="CCCCCC" w:sz="1"/>
            </w:tcBorders>
            <w:shd w:fill="1A2E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Measures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1A2E4A"/>
                <w:sz w:val="20"/>
                <w:szCs w:val="20"/>
              </w:rPr>
              <w:t xml:space="preserve">Generative quality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AUC_synth (τ=3)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2E7D32"/>
                <w:sz w:val="20"/>
                <w:szCs w:val="20"/>
              </w:rPr>
              <w:t xml:space="preserve">N ≫ I ≫ 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000000"/>
                <w:sz w:val="20"/>
                <w:szCs w:val="20"/>
              </w:rPr>
              <w:t xml:space="preserve">Geometric coherence of synthesized edges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Times New Roman" w:cs="Times New Roman" w:eastAsia="Times New Roman" w:hAnsi="Times New Roman"/>
                <w:color w:val="1A2E4A"/>
                <w:sz w:val="20"/>
                <w:szCs w:val="20"/>
              </w:rPr>
              <w:t xml:space="preserve">Semantic emergence</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Δhomophily</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2E7D32"/>
                <w:sz w:val="20"/>
                <w:szCs w:val="20"/>
              </w:rPr>
              <w:t xml:space="preserve">N &gt; I; O undefined</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Times New Roman" w:cs="Times New Roman" w:eastAsia="Times New Roman" w:hAnsi="Times New Roman"/>
                <w:color w:val="000000"/>
                <w:sz w:val="20"/>
                <w:szCs w:val="20"/>
              </w:rPr>
              <w:t xml:space="preserve">Emergent vs. imposed class structure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1A2E4A"/>
                <w:sz w:val="20"/>
                <w:szCs w:val="20"/>
              </w:rPr>
              <w:t xml:space="preserve">Post-drift intelligence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NCA (consolidation)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888888"/>
                <w:sz w:val="20"/>
                <w:szCs w:val="20"/>
              </w:rPr>
              <w:t xml:space="preserve">O &gt; N &gt; I</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000000"/>
                <w:sz w:val="20"/>
                <w:szCs w:val="20"/>
              </w:rPr>
              <w:t xml:space="preserve">Laplacian perturbation cost (stability bias)</w:t>
            </w:r>
          </w:p>
        </w:tc>
      </w:tr>
      <w:tr>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Times New Roman" w:cs="Times New Roman" w:eastAsia="Times New Roman" w:hAnsi="Times New Roman"/>
                <w:color w:val="1A2E4A"/>
                <w:sz w:val="20"/>
                <w:szCs w:val="20"/>
              </w:rPr>
              <w:t xml:space="preserve">Fossil fidelity</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Fossil AUC</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C62828"/>
                <w:sz w:val="20"/>
                <w:szCs w:val="20"/>
              </w:rPr>
              <w:t xml:space="preserve">O &gt; I &gt; N</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Times New Roman" w:cs="Times New Roman" w:eastAsia="Times New Roman" w:hAnsi="Times New Roman"/>
                <w:color w:val="000000"/>
                <w:sz w:val="20"/>
                <w:szCs w:val="20"/>
              </w:rPr>
              <w:t xml:space="preserve">Memory of static past (biased metric)</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4A148C"/>
                <w:sz w:val="20"/>
                <w:szCs w:val="20"/>
              </w:rPr>
              <w:t xml:space="preserve">Cognitive yield (composite)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val="false"/>
                <w:bCs w:val="false"/>
                <w:color w:val="000000"/>
                <w:sz w:val="20"/>
                <w:szCs w:val="20"/>
              </w:rPr>
              <w:t xml:space="preserve">Yc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Times New Roman" w:cs="Times New Roman" w:eastAsia="Times New Roman" w:hAnsi="Times New Roman"/>
                <w:b/>
                <w:bCs/>
                <w:color w:val="4A148C"/>
                <w:sz w:val="20"/>
                <w:szCs w:val="20"/>
              </w:rPr>
              <w:t xml:space="preserve">N ≫ O = 0 ≫ I</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color w:val="000000"/>
                <w:sz w:val="20"/>
                <w:szCs w:val="20"/>
              </w:rPr>
              <w:t xml:space="preserve">Generative contribution × classification accuracy</w:t>
            </w:r>
          </w:p>
        </w:tc>
      </w:tr>
    </w:tbl>
    <w:p>
      <w:pPr>
        <w:spacing w:before="60" w:after="0"/>
      </w:pPr>
      <w:r>
        <w:rPr>
          <w:rFonts w:ascii="Times New Roman" w:cs="Times New Roman" w:eastAsia="Times New Roman" w:hAnsi="Times New Roman"/>
          <w:b w:val="false"/>
          <w:bCs w:val="false"/>
          <w:i w:val="false"/>
          <w:iCs w:val="false"/>
          <w:color w:val="000000"/>
          <w:sz w:val="22"/>
          <w:szCs w:val="22"/>
        </w:rPr>
        <w:t xml:space="preserve"/>
      </w:r>
    </w:p>
    <w:p>
      <w:pPr>
        <w:spacing w:before="40" w:after="120" w:line="276"/>
        <w:jc w:val="center"/>
      </w:pPr>
      <w:r>
        <w:rPr>
          <w:rFonts w:ascii="Times New Roman" w:cs="Times New Roman" w:eastAsia="Times New Roman" w:hAnsi="Times New Roman"/>
          <w:b w:val="false"/>
          <w:bCs w:val="false"/>
          <w:i/>
          <w:iCs/>
          <w:color w:val="000000"/>
          <w:sz w:val="22"/>
          <w:szCs w:val="22"/>
        </w:rPr>
        <w:t xml:space="preserve">Table 2.</w:t>
      </w:r>
      <w:r>
        <w:rPr>
          <w:rFonts w:ascii="Times New Roman" w:cs="Times New Roman" w:eastAsia="Times New Roman" w:hAnsi="Times New Roman"/>
          <w:b w:val="false"/>
          <w:bCs w:val="false"/>
          <w:i w:val="false"/>
          <w:iCs w:val="false"/>
          <w:color w:val="000000"/>
          <w:sz w:val="22"/>
          <w:szCs w:val="22"/>
        </w:rPr>
        <w:t xml:space="preserve"> Five orthogonal evaluation axes. Distinct rankings across axes are the correct result, not an inconsistency.</w:t>
      </w:r>
    </w:p>
    <w:p>
      <w:pPr>
        <w:spacing w:before="80" w:after="0"/>
      </w:pPr>
      <w:r>
        <w:rPr>
          <w:rFonts w:ascii="Times New Roman" w:cs="Times New Roman" w:eastAsia="Times New Roman" w:hAnsi="Times New Roman"/>
          <w:b w:val="false"/>
          <w:bCs w:val="false"/>
          <w:i w:val="false"/>
          <w:iCs w:val="false"/>
          <w:color w:val="000000"/>
          <w:sz w:val="22"/>
          <w:szCs w:val="22"/>
        </w:rPr>
        <w:t xml:space="preserve"/>
      </w:r>
    </w:p>
    <w:p>
      <w:pPr>
        <w:pStyle w:val="Heading2"/>
        <w:spacing w:before="240" w:after="80"/>
      </w:pPr>
      <w:r>
        <w:rPr>
          <w:rFonts w:ascii="Arial" w:cs="Arial" w:eastAsia="Arial" w:hAnsi="Arial"/>
          <w:b/>
          <w:bCs/>
          <w:color w:val="1A2E4A"/>
          <w:sz w:val="23"/>
          <w:szCs w:val="23"/>
        </w:rPr>
        <w:t xml:space="preserve">7.1 The Formal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8"/>
              <w:left w:val="thick" w:color="1A2E4A" w:sz="28"/>
              <w:bottom w:val="single" w:color="CCCCCC" w:sz="2"/>
              <w:right w:val="none" w:color="FFFFFF" w:sz="0"/>
            </w:tcBorders>
            <w:shd w:fill="F0F4FA"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Let Φ = {AUC_synth, Δh, NCA_consol, FossilAUC, Yₓ} be the evaluation space. Then:</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(1) ∀ φ_i ∈ Φ: ranking(φ_i) ⊢ ranking(φ_j) for j ≠ i  [irreducibility]</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(2) Normal ≻ Inverted on {φ_1, φ_2, φ_3, φ_5}  [generative superiority]</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(3) Off ≡ 0 on φ_5; undefined on φ_1, φ_2  [passive baseline]</w:t>
            </w:r>
          </w:p>
          <w:p>
            <w:pPr>
              <w:spacing w:before="0" w:after="70" w:line="280"/>
              <w:jc w:val="both"/>
            </w:pPr>
            <w:r>
              <w:rPr>
                <w:rFonts w:ascii="Times New Roman" w:cs="Times New Roman" w:eastAsia="Times New Roman" w:hAnsi="Times New Roman"/>
                <w:b w:val="false"/>
                <w:bCs w:val="false"/>
                <w:i w:val="false"/>
                <w:iCs w:val="false"/>
                <w:color w:val="000000"/>
                <w:sz w:val="22"/>
                <w:szCs w:val="22"/>
              </w:rPr>
              <w:t xml:space="preserve">(4) Normal ⟼ FossilAUC (φ_4) proportionally to ‖δH‖  [Plasticity Tax]</w:t>
            </w:r>
          </w:p>
        </w:tc>
      </w:tr>
    </w:tbl>
    <w:p>
      <w:pPr>
        <w:pStyle w:val="Heading2"/>
        <w:spacing w:before="240" w:after="80"/>
      </w:pPr>
      <w:r>
        <w:rPr>
          <w:rFonts w:ascii="Arial" w:cs="Arial" w:eastAsia="Arial" w:hAnsi="Arial"/>
          <w:b/>
          <w:bCs/>
          <w:color w:val="1A2E4A"/>
          <w:sz w:val="23"/>
          <w:szCs w:val="23"/>
        </w:rPr>
        <w:t xml:space="preserve">7.2 No Universal Ranking Exists — And That Is The Finding</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absence of a universal ranking is not a limitation. It is the scientific result. Fossil fidelity rewards the absence of learning. Post-drift stability rewards the absence of perturbation. These are orthogonal to generative intelligence. A system evaluated on one axis is </w:t>
      </w:r>
      <w:r>
        <w:rPr>
          <w:rFonts w:ascii="Times New Roman" w:cs="Times New Roman" w:eastAsia="Times New Roman" w:hAnsi="Times New Roman"/>
          <w:b w:val="false"/>
          <w:bCs w:val="false"/>
          <w:i/>
          <w:iCs/>
          <w:color w:val="000000"/>
          <w:sz w:val="22"/>
          <w:szCs w:val="22"/>
        </w:rPr>
        <w:t xml:space="preserve">not characterized</w:t>
      </w:r>
      <w:r>
        <w:rPr>
          <w:rFonts w:ascii="Times New Roman" w:cs="Times New Roman" w:eastAsia="Times New Roman" w:hAnsi="Times New Roman"/>
          <w:b w:val="false"/>
          <w:bCs w:val="false"/>
          <w:i w:val="false"/>
          <w:iCs w:val="false"/>
          <w:color w:val="000000"/>
          <w:sz w:val="22"/>
          <w:szCs w:val="22"/>
        </w:rPr>
        <w:t xml:space="preserve"> — it is mischaracterized.</w:t>
      </w:r>
    </w:p>
    <w:p>
      <w:pPr>
        <w:pStyle w:val="Heading1"/>
        <w:pBdr>
          <w:bottom w:val="single" w:color="1A2E4A" w:sz="6" w:space="3"/>
        </w:pBdr>
        <w:spacing w:before="360" w:after="120"/>
      </w:pPr>
      <w:r>
        <w:rPr>
          <w:rFonts w:ascii="Arial" w:cs="Arial" w:eastAsia="Arial" w:hAnsi="Arial"/>
          <w:b/>
          <w:bCs/>
          <w:color w:val="1A2E4A"/>
          <w:sz w:val="26"/>
          <w:szCs w:val="26"/>
        </w:rPr>
        <w:t xml:space="preserve">8. Discussion</w:t>
      </w:r>
    </w:p>
    <w:p>
      <w:pPr>
        <w:pStyle w:val="Heading2"/>
        <w:spacing w:before="240" w:after="80"/>
      </w:pPr>
      <w:r>
        <w:rPr>
          <w:rFonts w:ascii="Arial" w:cs="Arial" w:eastAsia="Arial" w:hAnsi="Arial"/>
          <w:b/>
          <w:bCs/>
          <w:color w:val="1A2E4A"/>
          <w:sz w:val="23"/>
          <w:szCs w:val="23"/>
        </w:rPr>
        <w:t xml:space="preserve">8.1 The Plasticity Tax as a Diagnostic Signal</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Plasticity Tax Ψ is not a bug. It is a signal. Its presence indicates that the system is genuinely reorganizing its knowledge structure. Its absence (Off mode: Ψ=0) indicates that no learning is occurring. A system with Ψ=0 across all evaluation windows should be classified as a static encoder, not a dynamic system, regardless of its architectural description.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ratio Ψ/Yₓ provides a new diagnostic: the </w:t>
      </w:r>
      <w:r>
        <w:rPr>
          <w:rFonts w:ascii="Times New Roman" w:cs="Times New Roman" w:eastAsia="Times New Roman" w:hAnsi="Times New Roman"/>
          <w:b/>
          <w:bCs/>
          <w:i w:val="false"/>
          <w:iCs w:val="false"/>
          <w:color w:val="000000"/>
          <w:sz w:val="22"/>
          <w:szCs w:val="22"/>
        </w:rPr>
        <w:t xml:space="preserve">cost-yield ratio</w:t>
      </w:r>
      <w:r>
        <w:rPr>
          <w:rFonts w:ascii="Times New Roman" w:cs="Times New Roman" w:eastAsia="Times New Roman" w:hAnsi="Times New Roman"/>
          <w:b w:val="false"/>
          <w:bCs w:val="false"/>
          <w:i w:val="false"/>
          <w:iCs w:val="false"/>
          <w:color w:val="000000"/>
          <w:sz w:val="22"/>
          <w:szCs w:val="22"/>
        </w:rPr>
        <w:t xml:space="preserve"> of learning. A system that pays high Ψ and achieves high Yₓ is an efficient learner. A system that pays high Ψ and achieves low Yₓ (Inverted mode) is a destructive reorganizer. This ratio was not measurable before Yₓ.</w:t>
      </w:r>
    </w:p>
    <w:p>
      <w:pPr>
        <w:pStyle w:val="Heading2"/>
        <w:spacing w:before="240" w:after="80"/>
      </w:pPr>
      <w:r>
        <w:rPr>
          <w:rFonts w:ascii="Arial" w:cs="Arial" w:eastAsia="Arial" w:hAnsi="Arial"/>
          <w:b/>
          <w:bCs/>
          <w:color w:val="1A2E4A"/>
          <w:sz w:val="23"/>
          <w:szCs w:val="23"/>
        </w:rPr>
        <w:t xml:space="preserve">8.2 Emergent vs. Imposed Homophily</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Normal Δh = +0.40 reflects </w:t>
      </w:r>
      <w:r>
        <w:rPr>
          <w:rFonts w:ascii="Times New Roman" w:cs="Times New Roman" w:eastAsia="Times New Roman" w:hAnsi="Times New Roman"/>
          <w:b w:val="false"/>
          <w:bCs w:val="false"/>
          <w:i/>
          <w:iCs/>
          <w:color w:val="000000"/>
          <w:sz w:val="22"/>
          <w:szCs w:val="22"/>
        </w:rPr>
        <w:t xml:space="preserve">emergent</w:t>
      </w:r>
      <w:r>
        <w:rPr>
          <w:rFonts w:ascii="Times New Roman" w:cs="Times New Roman" w:eastAsia="Times New Roman" w:hAnsi="Times New Roman"/>
          <w:b w:val="false"/>
          <w:bCs w:val="false"/>
          <w:i w:val="false"/>
          <w:iCs w:val="false"/>
          <w:color w:val="000000"/>
          <w:sz w:val="22"/>
          <w:szCs w:val="22"/>
        </w:rPr>
        <w:t xml:space="preserve"> semantic coherence: elite selection preferentially connects semantically proximate nodes. Inverted Δh = +0.448 reflects </w:t>
      </w:r>
      <w:r>
        <w:rPr>
          <w:rFonts w:ascii="Times New Roman" w:cs="Times New Roman" w:eastAsia="Times New Roman" w:hAnsi="Times New Roman"/>
          <w:b w:val="false"/>
          <w:bCs w:val="false"/>
          <w:i/>
          <w:iCs/>
          <w:color w:val="000000"/>
          <w:sz w:val="22"/>
          <w:szCs w:val="22"/>
        </w:rPr>
        <w:t xml:space="preserve">imposed</w:t>
      </w:r>
      <w:r>
        <w:rPr>
          <w:rFonts w:ascii="Times New Roman" w:cs="Times New Roman" w:eastAsia="Times New Roman" w:hAnsi="Times New Roman"/>
          <w:b w:val="false"/>
          <w:bCs w:val="false"/>
          <w:i w:val="false"/>
          <w:iCs w:val="false"/>
          <w:color w:val="000000"/>
          <w:sz w:val="22"/>
          <w:szCs w:val="22"/>
        </w:rPr>
        <w:t xml:space="preserve"> structure: peripheral nodes in Cora happen to cluster by degree, which correlates with class. This distinction is invisible to Δh alone but revealed decisively by AUC_synth (0.975 vs. 0.090). Metrics φ_1 and φ_2 are complementary.</w:t>
      </w:r>
    </w:p>
    <w:p>
      <w:pPr>
        <w:pStyle w:val="Heading2"/>
        <w:spacing w:before="240" w:after="80"/>
      </w:pPr>
      <w:r>
        <w:rPr>
          <w:rFonts w:ascii="Arial" w:cs="Arial" w:eastAsia="Arial" w:hAnsi="Arial"/>
          <w:b/>
          <w:bCs/>
          <w:color w:val="1A2E4A"/>
          <w:sz w:val="23"/>
          <w:szCs w:val="23"/>
        </w:rPr>
        <w:t xml:space="preserve">8.3 Scope and Limitations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Current empirical validation: Cora dataset, specific GNN architecture. Generality of the Plasticity Tax and Cognitive Yield across datasets, architectures, and geometric spaces requires further investigation. Age filter threshold τ=3 was set empirically; a principled selection criterion (e.g., based on embedding convergence rate) is a natural extension. Yₓ assumes edge count as a proxy for generative volume; alternative proxies (structural entropy change, spectral gap shift) may be more appropriate for certain architectures.</w:t>
      </w:r>
    </w:p>
    <w:p>
      <w:pPr>
        <w:pStyle w:val="Heading2"/>
        <w:spacing w:before="240" w:after="80"/>
      </w:pPr>
      <w:r>
        <w:rPr>
          <w:rFonts w:ascii="Arial" w:cs="Arial" w:eastAsia="Arial" w:hAnsi="Arial"/>
          <w:b/>
          <w:bCs/>
          <w:color w:val="1A2E4A"/>
          <w:sz w:val="23"/>
          <w:szCs w:val="23"/>
        </w:rPr>
        <w:t xml:space="preserve">8.4 The Broader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8"/>
              <w:left w:val="thick" w:color="D4A017" w:sz="28"/>
              <w:bottom w:val="single" w:color="CCCCCC" w:sz="2"/>
              <w:right w:val="none" w:color="FFFFFF" w:sz="0"/>
            </w:tcBorders>
            <w:shd w:fill="FFF8E7" w:val="clear"/>
            <w:tcMar>
              <w:top w:type="dxa" w:w="120"/>
              <w:left w:type="dxa" w:w="200"/>
              <w:bottom w:type="dxa" w:w="120"/>
              <w:right w:type="dxa" w:w="180"/>
            </w:tcMar>
          </w:tcPr>
          <w:p>
            <w:pPr>
              <w:spacing w:before="0" w:after="70" w:line="280"/>
              <w:jc w:val="both"/>
            </w:pPr>
            <w:r>
              <w:rPr>
                <w:rFonts w:ascii="Times New Roman" w:cs="Times New Roman" w:eastAsia="Times New Roman" w:hAnsi="Times New Roman"/>
                <w:i/>
                <w:iCs/>
                <w:color w:val="222222"/>
                <w:sz w:val="22"/>
                <w:szCs w:val="22"/>
              </w:rPr>
              <w:t xml:space="preserve">Any system that rewrites its own topology will be misranked by static benchmarks — not because it fails, but because it learns. Measuring intelligence requires measuring contribution, not silence. The correction does not require better systems. It requires better measurement.</w:t>
            </w:r>
          </w:p>
        </w:tc>
      </w:tr>
    </w:tbl>
    <w:p>
      <w:pPr>
        <w:pStyle w:val="Heading1"/>
        <w:pBdr>
          <w:bottom w:val="single" w:color="1A2E4A" w:sz="6" w:space="3"/>
        </w:pBdr>
        <w:spacing w:before="360" w:after="120"/>
      </w:pPr>
      <w:r>
        <w:rPr>
          <w:rFonts w:ascii="Arial" w:cs="Arial" w:eastAsia="Arial" w:hAnsi="Arial"/>
          <w:b/>
          <w:bCs/>
          <w:color w:val="1A2E4A"/>
          <w:sz w:val="26"/>
          <w:szCs w:val="26"/>
        </w:rPr>
        <w:t xml:space="preserve">9. Conclusion</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We have identified, formalized, and empirically resolved the Static Benchmark Trap in generative graph systems. The key results stand: AUC_synth = 0.975 vs. 0.090 (10.8× separation after age filter), +54% NCA superiority in the consolidation window, and Yₓ = 0.230 vs. 0.000 for Normal vs. Off. The Plasticity Tax is real, bounded, and recoverable. Passive baselines score exactly zero on Cognitive Yield.</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The Topological Growth Coefficient (TGC) stands as a </w:t>
      </w:r>
      <w:r>
        <w:rPr>
          <w:rFonts w:ascii="Times New Roman" w:cs="Times New Roman" w:eastAsia="Times New Roman" w:hAnsi="Times New Roman"/>
          <w:b/>
          <w:bCs/>
          <w:i w:val="false"/>
          <w:iCs w:val="false"/>
          <w:color w:val="000000"/>
          <w:sz w:val="22"/>
          <w:szCs w:val="22"/>
        </w:rPr>
        <w:t xml:space="preserve">universal order parameter</w:t>
      </w:r>
      <w:r>
        <w:rPr>
          <w:rFonts w:ascii="Times New Roman" w:cs="Times New Roman" w:eastAsia="Times New Roman" w:hAnsi="Times New Roman"/>
          <w:b w:val="false"/>
          <w:bCs w:val="false"/>
          <w:i w:val="false"/>
          <w:iCs w:val="false"/>
          <w:color w:val="000000"/>
          <w:sz w:val="22"/>
          <w:szCs w:val="22"/>
        </w:rPr>
        <w:t xml:space="preserve"> (r &gt; 0.84, p &lt; 10</w:t>
      </w:r>
      <w:r>
        <w:rPr>
          <w:rFonts w:ascii="Times New Roman" w:cs="Times New Roman" w:eastAsia="Times New Roman" w:hAnsi="Times New Roman"/>
          <w:b w:val="false"/>
          <w:bCs w:val="false"/>
          <w:i w:val="false"/>
          <w:iCs w:val="false"/>
          <w:color w:val="000000"/>
          <w:sz w:val="22"/>
          <w:szCs w:val="22"/>
          <w:vertAlign w:val="superscript"/>
        </w:rPr>
        <w:t xml:space="preserve">⁻²⁷</w:t>
      </w:r>
      <w:r>
        <w:rPr>
          <w:rFonts w:ascii="Times New Roman" w:cs="Times New Roman" w:eastAsia="Times New Roman" w:hAnsi="Times New Roman"/>
          <w:b w:val="false"/>
          <w:bCs w:val="false"/>
          <w:i w:val="false"/>
          <w:iCs w:val="false"/>
          <w:color w:val="000000"/>
          <w:sz w:val="22"/>
          <w:szCs w:val="22"/>
        </w:rPr>
        <w:t xml:space="preserve"> across all conditions). The Orthogonal Evaluation Framework provides five irreducible axes whose joint application fully characterizes a generative graph system without conflation.</w:t>
      </w:r>
    </w:p>
    <w:p>
      <w:pPr>
        <w:spacing w:before="80" w:after="100" w:line="276"/>
        <w:jc w:val="both"/>
      </w:pPr>
      <w:r>
        <w:rPr>
          <w:rFonts w:ascii="Times New Roman" w:cs="Times New Roman" w:eastAsia="Times New Roman" w:hAnsi="Times New Roman"/>
          <w:b/>
          <w:bCs/>
          <w:i w:val="false"/>
          <w:iCs w:val="false"/>
          <w:color w:val="000000"/>
          <w:sz w:val="22"/>
          <w:szCs w:val="22"/>
        </w:rPr>
        <w:t xml:space="preserve">The final claim:</w:t>
      </w:r>
      <w:r>
        <w:rPr>
          <w:rFonts w:ascii="Times New Roman" w:cs="Times New Roman" w:eastAsia="Times New Roman" w:hAnsi="Times New Roman"/>
          <w:b w:val="false"/>
          <w:bCs w:val="false"/>
          <w:i w:val="false"/>
          <w:iCs w:val="false"/>
          <w:color w:val="000000"/>
          <w:sz w:val="22"/>
          <w:szCs w:val="22"/>
        </w:rPr>
        <w:t xml:space="preserve"> the current ML evaluation infrastructure systematically rewards topological inertia under the label of ‘precision’. A stone outperforms a brain on stability benchmarks. The correction is not to penalize stones — it is to recognize that stability is not the goal. Generative coherence, semantic emergence, and cognitive yield are the appropriate criteria for systems that build, not merely remember.</w:t>
      </w:r>
    </w:p>
    <w:p>
      <w:pPr>
        <w:pBdr>
          <w:bottom w:val="single" w:color="DDDDDD" w:sz="3" w:space="1"/>
        </w:pBdr>
        <w:spacing w:before="200" w:after="200"/>
      </w:pPr>
      <w:r>
        <w:rPr>
          <w:rFonts w:ascii="Times New Roman" w:cs="Times New Roman" w:eastAsia="Times New Roman" w:hAnsi="Times New Roman"/>
          <w:b w:val="false"/>
          <w:bCs w:val="false"/>
          <w:i w:val="false"/>
          <w:iCs w:val="false"/>
          <w:color w:val="000000"/>
          <w:sz w:val="22"/>
          <w:szCs w:val="22"/>
        </w:rPr>
        <w:t xml:space="preserve"/>
      </w:r>
    </w:p>
    <w:p>
      <w:pPr>
        <w:pStyle w:val="Heading1"/>
        <w:pBdr>
          <w:bottom w:val="single" w:color="1A2E4A" w:sz="6" w:space="3"/>
        </w:pBdr>
        <w:spacing w:before="360" w:after="120"/>
      </w:pPr>
      <w:r>
        <w:rPr>
          <w:rFonts w:ascii="Arial" w:cs="Arial" w:eastAsia="Arial" w:hAnsi="Arial"/>
          <w:b/>
          <w:bCs/>
          <w:color w:val="1A2E4A"/>
          <w:sz w:val="26"/>
          <w:szCs w:val="26"/>
        </w:rPr>
        <w:t xml:space="preserve">References</w:t>
      </w:r>
    </w:p>
    <w:p>
      <w:pPr>
        <w:spacing w:before="40" w:after="60" w:line="265"/>
        <w:ind w:left="720" w:hanging="720"/>
      </w:pPr>
      <w:r>
        <w:rPr>
          <w:rFonts w:ascii="Times New Roman" w:cs="Times New Roman" w:eastAsia="Times New Roman" w:hAnsi="Times New Roman"/>
          <w:color w:val="333333"/>
          <w:sz w:val="20"/>
          <w:szCs w:val="20"/>
        </w:rPr>
        <w:t xml:space="preserve">Abraham, W. C., &amp; Robins, A. (2005). Memory retention — the synaptic stability versus plasticity dilemma. Trends in Neurosciences, 28(2), 73–78.</w:t>
      </w:r>
    </w:p>
    <w:p>
      <w:pPr>
        <w:spacing w:before="40" w:after="60" w:line="265"/>
        <w:ind w:left="720" w:hanging="720"/>
      </w:pPr>
      <w:r>
        <w:rPr>
          <w:rFonts w:ascii="Times New Roman" w:cs="Times New Roman" w:eastAsia="Times New Roman" w:hAnsi="Times New Roman"/>
          <w:color w:val="333333"/>
          <w:sz w:val="20"/>
          <w:szCs w:val="20"/>
        </w:rPr>
        <w:t xml:space="preserve">Chami, I., Ying, Z., Ré, C., &amp; Leskovec, J. (2019). Hyperbolic graph convolutional neural networks. NeurIPS 2019.</w:t>
      </w:r>
    </w:p>
    <w:p>
      <w:pPr>
        <w:spacing w:before="40" w:after="60" w:line="265"/>
        <w:ind w:left="720" w:hanging="720"/>
      </w:pPr>
      <w:r>
        <w:rPr>
          <w:rFonts w:ascii="Times New Roman" w:cs="Times New Roman" w:eastAsia="Times New Roman" w:hAnsi="Times New Roman"/>
          <w:color w:val="333333"/>
          <w:sz w:val="20"/>
          <w:szCs w:val="20"/>
        </w:rPr>
        <w:t xml:space="preserve">De Lange, M., et al. (2022). A continual learning survey: Defying forgetting in classification tasks. IEEE TPAMI, 44(7), 3366–3385.</w:t>
      </w:r>
    </w:p>
    <w:p>
      <w:pPr>
        <w:spacing w:before="40" w:after="60" w:line="265"/>
        <w:ind w:left="720" w:hanging="720"/>
      </w:pPr>
      <w:r>
        <w:rPr>
          <w:rFonts w:ascii="Times New Roman" w:cs="Times New Roman" w:eastAsia="Times New Roman" w:hAnsi="Times New Roman"/>
          <w:color w:val="333333"/>
          <w:sz w:val="20"/>
          <w:szCs w:val="20"/>
        </w:rPr>
        <w:t xml:space="preserve">Hamilton, W., Ying, Z., &amp; Leskovec, J. (2017). Inductive representation learning on large graphs. NeurIPS 2017.</w:t>
      </w:r>
    </w:p>
    <w:p>
      <w:pPr>
        <w:spacing w:before="40" w:after="60" w:line="265"/>
        <w:ind w:left="720" w:hanging="720"/>
      </w:pPr>
      <w:r>
        <w:rPr>
          <w:rFonts w:ascii="Times New Roman" w:cs="Times New Roman" w:eastAsia="Times New Roman" w:hAnsi="Times New Roman"/>
          <w:color w:val="333333"/>
          <w:sz w:val="20"/>
          <w:szCs w:val="20"/>
        </w:rPr>
        <w:t xml:space="preserve">Kazemi, S. M., et al. (2020). Representation learning for dynamic graphs: A survey. JMLR, 21(70), 1–73.</w:t>
      </w:r>
    </w:p>
    <w:p>
      <w:pPr>
        <w:spacing w:before="40" w:after="60" w:line="265"/>
        <w:ind w:left="720" w:hanging="720"/>
      </w:pPr>
      <w:r>
        <w:rPr>
          <w:rFonts w:ascii="Times New Roman" w:cs="Times New Roman" w:eastAsia="Times New Roman" w:hAnsi="Times New Roman"/>
          <w:color w:val="333333"/>
          <w:sz w:val="20"/>
          <w:szCs w:val="20"/>
        </w:rPr>
        <w:t xml:space="preserve">Kipf, T. N., &amp; Welling, M. (2017). Semi-supervised classification with graph convolutional networks. ICLR 2017.</w:t>
      </w:r>
    </w:p>
    <w:p>
      <w:pPr>
        <w:spacing w:before="40" w:after="60" w:line="265"/>
        <w:ind w:left="720" w:hanging="720"/>
      </w:pPr>
      <w:r>
        <w:rPr>
          <w:rFonts w:ascii="Times New Roman" w:cs="Times New Roman" w:eastAsia="Times New Roman" w:hAnsi="Times New Roman"/>
          <w:color w:val="333333"/>
          <w:sz w:val="20"/>
          <w:szCs w:val="20"/>
        </w:rPr>
        <w:t xml:space="preserve">Nickel, M., &amp; Kiela, D. (2017). Poincaré embeddings for learning hierarchical representations. NeurIPS 2017.</w:t>
      </w:r>
    </w:p>
    <w:p>
      <w:pPr>
        <w:spacing w:before="40" w:after="60" w:line="265"/>
        <w:ind w:left="720" w:hanging="720"/>
      </w:pPr>
      <w:r>
        <w:rPr>
          <w:rFonts w:ascii="Times New Roman" w:cs="Times New Roman" w:eastAsia="Times New Roman" w:hAnsi="Times New Roman"/>
          <w:color w:val="333333"/>
          <w:sz w:val="20"/>
          <w:szCs w:val="20"/>
        </w:rPr>
        <w:t xml:space="preserve">Parisi, G. I., et al. (2019). Continual lifelong learning with neural networks: A review. Neural Networks, 113, 54–71.</w:t>
      </w:r>
    </w:p>
    <w:p>
      <w:pPr>
        <w:spacing w:before="40" w:after="60" w:line="265"/>
        <w:ind w:left="720" w:hanging="720"/>
      </w:pPr>
      <w:r>
        <w:rPr>
          <w:rFonts w:ascii="Times New Roman" w:cs="Times New Roman" w:eastAsia="Times New Roman" w:hAnsi="Times New Roman"/>
          <w:color w:val="333333"/>
          <w:sz w:val="20"/>
          <w:szCs w:val="20"/>
        </w:rPr>
        <w:t xml:space="preserve">Rossi, E., et al. (2020). Temporal graph networks for deep learning on dynamic graphs. ICML 2020 Workshop.</w:t>
      </w:r>
    </w:p>
    <w:p>
      <w:pPr>
        <w:spacing w:before="40" w:after="60" w:line="265"/>
        <w:ind w:left="720" w:hanging="720"/>
      </w:pPr>
      <w:r>
        <w:rPr>
          <w:rFonts w:ascii="Times New Roman" w:cs="Times New Roman" w:eastAsia="Times New Roman" w:hAnsi="Times New Roman"/>
          <w:color w:val="333333"/>
          <w:sz w:val="20"/>
          <w:szCs w:val="20"/>
        </w:rPr>
        <w:t xml:space="preserve">Zhang, M., &amp; Chen, Y. (2018). Link prediction based on graph neural networks. NeurIPS 2018.</w:t>
      </w:r>
    </w:p>
    <w:p>
      <w:pPr>
        <w:pBdr>
          <w:bottom w:val="single" w:color="DDDDDD" w:sz="3" w:space="1"/>
        </w:pBdr>
        <w:spacing w:before="200" w:after="200"/>
      </w:pPr>
      <w:r>
        <w:rPr>
          <w:rFonts w:ascii="Times New Roman" w:cs="Times New Roman" w:eastAsia="Times New Roman" w:hAnsi="Times New Roman"/>
          <w:b w:val="false"/>
          <w:bCs w:val="false"/>
          <w:i w:val="false"/>
          <w:iCs w:val="false"/>
          <w:color w:val="000000"/>
          <w:sz w:val="22"/>
          <w:szCs w:val="22"/>
        </w:rPr>
        <w:t xml:space="preserve"/>
      </w:r>
    </w:p>
    <w:p>
      <w:pPr>
        <w:spacing w:before="240" w:after="80"/>
      </w:pPr>
      <w:r>
        <w:rPr>
          <w:rFonts w:ascii="Arial" w:cs="Arial" w:eastAsia="Arial" w:hAnsi="Arial"/>
          <w:b/>
          <w:bCs/>
          <w:color w:val="1A2E4A"/>
          <w:sz w:val="24"/>
          <w:szCs w:val="24"/>
        </w:rPr>
        <w:t xml:space="preserve">Appendix A: Proof of Foam Inflation Monotonicity</w:t>
      </w:r>
    </w:p>
    <w:p>
      <w:pPr>
        <w:spacing w:before="80" w:after="100" w:line="276"/>
        <w:jc w:val="both"/>
      </w:pPr>
      <w:r>
        <w:rPr>
          <w:rFonts w:ascii="Times New Roman" w:cs="Times New Roman" w:eastAsia="Times New Roman" w:hAnsi="Times New Roman"/>
          <w:b/>
          <w:bCs/>
          <w:i w:val="false"/>
          <w:iCs w:val="false"/>
          <w:color w:val="000000"/>
          <w:sz w:val="22"/>
          <w:szCs w:val="22"/>
        </w:rPr>
        <w:t xml:space="preserve">Proposition: </w:t>
      </w:r>
      <w:r>
        <w:rPr>
          <w:rFonts w:ascii="Times New Roman" w:cs="Times New Roman" w:eastAsia="Times New Roman" w:hAnsi="Times New Roman"/>
          <w:b w:val="false"/>
          <w:bCs w:val="false"/>
          <w:i w:val="false"/>
          <w:iCs w:val="false"/>
          <w:color w:val="000000"/>
          <w:sz w:val="22"/>
          <w:szCs w:val="22"/>
        </w:rPr>
        <w:t xml:space="preserve">AUC</w:t>
      </w:r>
      <w:r>
        <w:rPr>
          <w:rFonts w:ascii="Times New Roman" w:cs="Times New Roman" w:eastAsia="Times New Roman" w:hAnsi="Times New Roman"/>
          <w:b w:val="false"/>
          <w:bCs w:val="false"/>
          <w:i w:val="false"/>
          <w:iCs w:val="false"/>
          <w:color w:val="000000"/>
          <w:sz w:val="22"/>
          <w:szCs w:val="22"/>
          <w:vertAlign w:val="subscript"/>
        </w:rPr>
        <w:t xml:space="preserve">static</w:t>
      </w:r>
      <w:r>
        <w:rPr>
          <w:rFonts w:ascii="Times New Roman" w:cs="Times New Roman" w:eastAsia="Times New Roman" w:hAnsi="Times New Roman"/>
          <w:b w:val="false"/>
          <w:bCs w:val="false"/>
          <w:i w:val="false"/>
          <w:iCs w:val="false"/>
          <w:color w:val="000000"/>
          <w:sz w:val="22"/>
          <w:szCs w:val="22"/>
        </w:rPr>
        <w:t xml:space="preserve"> is monotonically increasing in the foam fraction π</w:t>
      </w:r>
      <w:r>
        <w:rPr>
          <w:rFonts w:ascii="Times New Roman" w:cs="Times New Roman" w:eastAsia="Times New Roman" w:hAnsi="Times New Roman"/>
          <w:b w:val="false"/>
          <w:bCs w:val="false"/>
          <w:i w:val="false"/>
          <w:iCs w:val="false"/>
          <w:color w:val="000000"/>
          <w:sz w:val="22"/>
          <w:szCs w:val="22"/>
          <w:vertAlign w:val="subscript"/>
        </w:rPr>
        <w:t xml:space="preserve">foam</w:t>
      </w:r>
      <w:r>
        <w:rPr>
          <w:rFonts w:ascii="Times New Roman" w:cs="Times New Roman" w:eastAsia="Times New Roman" w:hAnsi="Times New Roman"/>
          <w:b w:val="false"/>
          <w:bCs w:val="false"/>
          <w:i w:val="false"/>
          <w:iCs w:val="false"/>
          <w:color w:val="000000"/>
          <w:sz w:val="22"/>
          <w:szCs w:val="22"/>
        </w:rPr>
        <w:t xml:space="preserve"> of the negative sample pool.</w:t>
      </w:r>
    </w:p>
    <w:p>
      <w:pPr>
        <w:spacing w:before="80" w:after="100" w:line="276"/>
        <w:jc w:val="both"/>
      </w:pPr>
      <w:r>
        <w:rPr>
          <w:rFonts w:ascii="Times New Roman" w:cs="Times New Roman" w:eastAsia="Times New Roman" w:hAnsi="Times New Roman"/>
          <w:b/>
          <w:bCs/>
          <w:i w:val="false"/>
          <w:iCs w:val="false"/>
          <w:color w:val="000000"/>
          <w:sz w:val="22"/>
          <w:szCs w:val="22"/>
        </w:rPr>
        <w:t xml:space="preserve">Proof: </w:t>
      </w:r>
      <w:r>
        <w:rPr>
          <w:rFonts w:ascii="Times New Roman" w:cs="Times New Roman" w:eastAsia="Times New Roman" w:hAnsi="Times New Roman"/>
          <w:b w:val="false"/>
          <w:bCs w:val="false"/>
          <w:i w:val="false"/>
          <w:iCs w:val="false"/>
          <w:color w:val="000000"/>
          <w:sz w:val="22"/>
          <w:szCs w:val="22"/>
        </w:rPr>
        <w:t xml:space="preserve">For foam node f with ‖f‖≥1−ε and Cora node c with ‖c‖≤r</w:t>
      </w:r>
      <w:r>
        <w:rPr>
          <w:rFonts w:ascii="Times New Roman" w:cs="Times New Roman" w:eastAsia="Times New Roman" w:hAnsi="Times New Roman"/>
          <w:b w:val="false"/>
          <w:bCs w:val="false"/>
          <w:i w:val="false"/>
          <w:iCs w:val="false"/>
          <w:color w:val="000000"/>
          <w:sz w:val="22"/>
          <w:szCs w:val="22"/>
          <w:vertAlign w:val="subscript"/>
        </w:rPr>
        <w:t xml:space="preserve">max</w:t>
      </w:r>
      <w:r>
        <w:rPr>
          <w:rFonts w:ascii="Times New Roman" w:cs="Times New Roman" w:eastAsia="Times New Roman" w:hAnsi="Times New Roman"/>
          <w:b w:val="false"/>
          <w:bCs w:val="false"/>
          <w:i w:val="false"/>
          <w:iCs w:val="false"/>
          <w:color w:val="000000"/>
          <w:sz w:val="22"/>
          <w:szCs w:val="22"/>
        </w:rPr>
        <w:t xml:space="preserve">&lt;1:</w:t>
      </w:r>
    </w:p>
    <w:p>
      <w:pPr>
        <w:spacing w:before="160" w:after="160"/>
        <w:jc w:val="center"/>
      </w:pPr>
      <w:r>
        <w:rPr>
          <w:rFonts w:ascii="Courier New" w:cs="Courier New" w:eastAsia="Courier New" w:hAnsi="Courier New"/>
          <w:color w:val="1A2E4A"/>
          <w:sz w:val="22"/>
          <w:szCs w:val="22"/>
        </w:rPr>
        <w:t xml:space="preserve">s(f,c) = σ(-d_H(f,c)/τ) ≤ σ(-arccosh(1/ε)/τ)  →  0  as ε → 0</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Since s(u,v) &gt; δ &gt; 0 for all test edges within V</w:t>
      </w:r>
      <w:r>
        <w:rPr>
          <w:rFonts w:ascii="Times New Roman" w:cs="Times New Roman" w:eastAsia="Times New Roman" w:hAnsi="Times New Roman"/>
          <w:b w:val="false"/>
          <w:bCs w:val="false"/>
          <w:i w:val="false"/>
          <w:iCs w:val="false"/>
          <w:color w:val="000000"/>
          <w:sz w:val="22"/>
          <w:szCs w:val="22"/>
          <w:vertAlign w:val="subscript"/>
        </w:rPr>
        <w:t xml:space="preserve">Cora</w:t>
      </w:r>
      <w:r>
        <w:rPr>
          <w:rFonts w:ascii="Times New Roman" w:cs="Times New Roman" w:eastAsia="Times New Roman" w:hAnsi="Times New Roman"/>
          <w:b w:val="false"/>
          <w:bCs w:val="false"/>
          <w:i w:val="false"/>
          <w:iCs w:val="false"/>
          <w:color w:val="000000"/>
          <w:sz w:val="22"/>
          <w:szCs w:val="22"/>
        </w:rPr>
        <w:t xml:space="preserve">, replacing any Cora negative with foam strictly increases correctly ranked (+,−) pairs ⇒ AUC increases strictly. ■</w:t>
      </w:r>
    </w:p>
    <w:p>
      <w:pPr>
        <w:spacing w:before="160" w:after="0"/>
      </w:pPr>
      <w:r>
        <w:rPr>
          <w:rFonts w:ascii="Times New Roman" w:cs="Times New Roman" w:eastAsia="Times New Roman" w:hAnsi="Times New Roman"/>
          <w:b w:val="false"/>
          <w:bCs w:val="false"/>
          <w:i w:val="false"/>
          <w:iCs w:val="false"/>
          <w:color w:val="000000"/>
          <w:sz w:val="22"/>
          <w:szCs w:val="22"/>
        </w:rPr>
        <w:t xml:space="preserve"/>
      </w:r>
    </w:p>
    <w:p>
      <w:pPr>
        <w:spacing w:before="120" w:after="80"/>
      </w:pPr>
      <w:r>
        <w:rPr>
          <w:rFonts w:ascii="Arial" w:cs="Arial" w:eastAsia="Arial" w:hAnsi="Arial"/>
          <w:b/>
          <w:bCs/>
          <w:color w:val="1A2E4A"/>
          <w:sz w:val="24"/>
          <w:szCs w:val="24"/>
        </w:rPr>
        <w:t xml:space="preserve">Appendix B: Cognitive Yield — Sensitivity Analysis</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Yₓ ranking is robust to α ∈ [0.1, 100] because the dominant factor is the discrete zero at |E_gen|=0 (Off mode). For α=0.1: tanh term is small but nonzero for Normal/Inverted, preserving ranking. For α=100: tanh saturates near 1 for all systems with any coherent edges, making Yₓ ≈ NCA_consol for Normal — but Off remains exactly 0. The Off=0 result is α-independent.</w:t>
      </w:r>
    </w:p>
    <w:p>
      <w:pPr>
        <w:spacing w:before="80" w:after="100" w:line="276"/>
        <w:jc w:val="both"/>
      </w:pPr>
      <w:r>
        <w:rPr>
          <w:rFonts w:ascii="Times New Roman" w:cs="Times New Roman" w:eastAsia="Times New Roman" w:hAnsi="Times New Roman"/>
          <w:b w:val="false"/>
          <w:bCs w:val="false"/>
          <w:i w:val="false"/>
          <w:iCs w:val="false"/>
          <w:color w:val="000000"/>
          <w:sz w:val="22"/>
          <w:szCs w:val="22"/>
        </w:rPr>
        <w:t xml:space="preserve">For |E_gen| estimation in practice: use the cumulative count of edges created by Zaratustra across all evaluation cycles. This is always available from the engine’s logs.</w:t>
      </w:r>
    </w:p>
    <w:p>
      <w:pPr>
        <w:spacing w:before="160" w:after="0"/>
      </w:pPr>
      <w:r>
        <w:rPr>
          <w:rFonts w:ascii="Times New Roman" w:cs="Times New Roman" w:eastAsia="Times New Roman" w:hAnsi="Times New Roman"/>
          <w:b w:val="false"/>
          <w:bCs w:val="false"/>
          <w:i w:val="false"/>
          <w:iCs w:val="false"/>
          <w:color w:val="000000"/>
          <w:sz w:val="22"/>
          <w:szCs w:val="22"/>
        </w:rPr>
        <w:t xml:space="preserve"/>
      </w:r>
    </w:p>
    <w:p>
      <w:pPr>
        <w:spacing w:before="120" w:after="80"/>
      </w:pPr>
      <w:r>
        <w:rPr>
          <w:rFonts w:ascii="Arial" w:cs="Arial" w:eastAsia="Arial" w:hAnsi="Arial"/>
          <w:b/>
          <w:bCs/>
          <w:color w:val="1A2E4A"/>
          <w:sz w:val="24"/>
          <w:szCs w:val="24"/>
        </w:rPr>
        <w:t xml:space="preserve">Appendix C: TGC, Age Filter, and Consolidation Window — Formal Definitions</w:t>
      </w:r>
    </w:p>
    <w:p>
      <w:pPr>
        <w:spacing w:before="160" w:after="160"/>
        <w:jc w:val="center"/>
      </w:pPr>
      <w:r>
        <w:rPr>
          <w:rFonts w:ascii="Courier New" w:cs="Courier New" w:eastAsia="Courier New" w:hAnsi="Courier New"/>
          <w:color w:val="1A2E4A"/>
          <w:sz w:val="22"/>
          <w:szCs w:val="22"/>
        </w:rPr>
        <w:t xml:space="preserve">TGC_t = (|E_t \ E_{t-1}| / |V_t|) · (|C_t^max| / |V_t|),   EMA: TGC~_t = 0.1·TGC_t + 0.9·TGC~_{t-1}</w:t>
      </w:r>
    </w:p>
    <w:p>
      <w:pPr>
        <w:spacing w:before="80" w:after="100" w:line="276"/>
        <w:jc w:val="both"/>
      </w:pPr>
      <w:r>
        <w:rPr>
          <w:rFonts w:ascii="Times New Roman" w:cs="Times New Roman" w:eastAsia="Times New Roman" w:hAnsi="Times New Roman"/>
          <w:b/>
          <w:bCs/>
          <w:i w:val="false"/>
          <w:iCs w:val="false"/>
          <w:color w:val="000000"/>
          <w:sz w:val="22"/>
          <w:szCs w:val="22"/>
        </w:rPr>
        <w:t xml:space="preserve">Age filter: </w:t>
      </w:r>
      <w:r>
        <w:rPr>
          <w:rFonts w:ascii="Times New Roman" w:cs="Times New Roman" w:eastAsia="Times New Roman" w:hAnsi="Times New Roman"/>
          <w:b w:val="false"/>
          <w:bCs w:val="false"/>
          <w:i w:val="false"/>
          <w:iCs w:val="false"/>
          <w:color w:val="000000"/>
          <w:sz w:val="22"/>
          <w:szCs w:val="22"/>
        </w:rPr>
        <w:t xml:space="preserve">node v born at b</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 has age a</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(t)=t−b</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 AUC_synth uses only edges with min(a</w:t>
      </w:r>
      <w:r>
        <w:rPr>
          <w:rFonts w:ascii="Times New Roman" w:cs="Times New Roman" w:eastAsia="Times New Roman" w:hAnsi="Times New Roman"/>
          <w:b w:val="false"/>
          <w:bCs w:val="false"/>
          <w:i w:val="false"/>
          <w:iCs w:val="false"/>
          <w:color w:val="000000"/>
          <w:sz w:val="22"/>
          <w:szCs w:val="22"/>
          <w:vertAlign w:val="subscript"/>
        </w:rPr>
        <w:t xml:space="preserve">u</w:t>
      </w:r>
      <w:r>
        <w:rPr>
          <w:rFonts w:ascii="Times New Roman" w:cs="Times New Roman" w:eastAsia="Times New Roman" w:hAnsi="Times New Roman"/>
          <w:b w:val="false"/>
          <w:bCs w:val="false"/>
          <w:i w:val="false"/>
          <w:iCs w:val="false"/>
          <w:color w:val="000000"/>
          <w:sz w:val="22"/>
          <w:szCs w:val="22"/>
        </w:rPr>
        <w:t xml:space="preserve">,a</w:t>
      </w:r>
      <w:r>
        <w:rPr>
          <w:rFonts w:ascii="Times New Roman" w:cs="Times New Roman" w:eastAsia="Times New Roman" w:hAnsi="Times New Roman"/>
          <w:b w:val="false"/>
          <w:bCs w:val="false"/>
          <w:i w:val="false"/>
          <w:iCs w:val="false"/>
          <w:color w:val="000000"/>
          <w:sz w:val="22"/>
          <w:szCs w:val="22"/>
          <w:vertAlign w:val="subscript"/>
        </w:rPr>
        <w:t xml:space="preserve">v</w:t>
      </w:r>
      <w:r>
        <w:rPr>
          <w:rFonts w:ascii="Times New Roman" w:cs="Times New Roman" w:eastAsia="Times New Roman" w:hAnsi="Times New Roman"/>
          <w:b w:val="false"/>
          <w:bCs w:val="false"/>
          <w:i w:val="false"/>
          <w:iCs w:val="false"/>
          <w:color w:val="000000"/>
          <w:sz w:val="22"/>
          <w:szCs w:val="22"/>
        </w:rPr>
        <w:t xml:space="preserve">)≥τ=3.</w:t>
      </w:r>
    </w:p>
    <w:p>
      <w:pPr>
        <w:spacing w:before="80" w:after="100" w:line="276"/>
        <w:jc w:val="both"/>
      </w:pPr>
      <w:r>
        <w:rPr>
          <w:rFonts w:ascii="Times New Roman" w:cs="Times New Roman" w:eastAsia="Times New Roman" w:hAnsi="Times New Roman"/>
          <w:b/>
          <w:bCs/>
          <w:i w:val="false"/>
          <w:iCs w:val="false"/>
          <w:color w:val="000000"/>
          <w:sz w:val="22"/>
          <w:szCs w:val="22"/>
        </w:rPr>
        <w:t xml:space="preserve">Consolidation window: </w:t>
      </w:r>
      <w:r>
        <w:rPr>
          <w:rFonts w:ascii="Times New Roman" w:cs="Times New Roman" w:eastAsia="Times New Roman" w:hAnsi="Times New Roman"/>
          <w:b w:val="false"/>
          <w:bCs w:val="false"/>
          <w:i w:val="false"/>
          <w:iCs w:val="false"/>
          <w:color w:val="000000"/>
          <w:sz w:val="22"/>
          <w:szCs w:val="22"/>
        </w:rPr>
        <w:t xml:space="preserve">interval [T−20, T] for T=100 cycles/condition. Rationale: Zaratustra output variance decreases monotonically after cycle ≈70; final 20 cycles represent steady-state operation where Ψ has resolved.</w:t>
      </w:r>
    </w:p>
    <w:p>
      <w:pPr>
        <w:spacing w:before="200" w:after="0"/>
      </w:pPr>
      <w:r>
        <w:rPr>
          <w:rFonts w:ascii="Times New Roman" w:cs="Times New Roman" w:eastAsia="Times New Roman" w:hAnsi="Times New Roman"/>
          <w:b w:val="false"/>
          <w:bCs w:val="false"/>
          <w:i w:val="false"/>
          <w:iCs w:val="false"/>
          <w:color w:val="000000"/>
          <w:sz w:val="22"/>
          <w:szCs w:val="22"/>
        </w:rP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spacing w:before="80" w:after="0"/>
      <w:jc w:val="center"/>
    </w:pPr>
    <w:r>
      <w:rPr>
        <w:rFonts w:ascii="Arial" w:cs="Arial" w:eastAsia="Arial" w:hAnsi="Arial"/>
        <w:color w:val="888888"/>
        <w:sz w:val="18"/>
        <w:szCs w:val="18"/>
      </w:rPr>
      <w:t xml:space="preserve">— Jose R. F. Junior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4"/>
      </w:pBdr>
      <w:tabs>
        <w:tab w:val="right" w:pos="9360"/>
      </w:tabs>
      <w:spacing w:before="0" w:after="120"/>
    </w:pPr>
    <w:r>
      <w:rPr>
        <w:rFonts w:ascii="Arial" w:cs="Arial" w:eastAsia="Arial" w:hAnsi="Arial"/>
        <w:i/>
        <w:iCs/>
        <w:color w:val="888888"/>
        <w:sz w:val="18"/>
        <w:szCs w:val="18"/>
      </w:rPr>
      <w:t xml:space="preserve">The Static Benchmark Trap</w:t>
    </w:r>
    <w:r>
      <w:rPr>
        <w:rFonts w:ascii="Arial" w:cs="Arial" w:eastAsia="Arial" w:hAnsi="Arial"/>
        <w:color w:val="888888"/>
        <w:sz w:val="18"/>
        <w:szCs w:val="18"/>
      </w:rPr>
      <w:t xml:space="preserve">	Jose R. F. Junior · NeurIPS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E4A"/>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2E4A"/>
      <w:sz w:val="23"/>
      <w:szCs w:val="23"/>
    </w:rPr>
  </w:style>
  <w:style w:type="paragraph" w:styleId="Heading3">
    <w:name w:val="Heading 3"/>
    <w:basedOn w:val="Normal"/>
    <w:next w:val="Normal"/>
    <w:qFormat/>
    <w:pPr>
      <w:spacing w:before="160" w:after="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2026-03-01T18:04:00.963Z</dcterms:created>
  <dcterms:modified xsi:type="dcterms:W3CDTF">2026-03-01T18:04:00.964Z</dcterms:modified>
</cp:coreProperties>
</file>

<file path=docProps/custom.xml><?xml version="1.0" encoding="utf-8"?>
<Properties xmlns="http://schemas.openxmlformats.org/officeDocument/2006/custom-properties" xmlns:vt="http://schemas.openxmlformats.org/officeDocument/2006/docPropsVTypes"/>
</file>