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 w:after="0"/>
      </w:pPr>
      <w:r>
        <w:rPr>
          <w:rFonts w:ascii="Times New Roman" w:cs="Times New Roman" w:eastAsia="Times New Roman" w:hAnsi="Times New Roman"/>
          <w:b w:val="false"/>
          <w:bCs w:val="false"/>
          <w:i w:val="false"/>
          <w:iCs w:val="false"/>
          <w:color w:val="000000"/>
          <w:sz w:val="22"/>
          <w:szCs w:val="22"/>
        </w:rPr>
        <w:t xml:space="preserve"/>
      </w:r>
    </w:p>
    <w:p>
      <w:pPr>
        <w:spacing w:before="0" w:after="80"/>
        <w:jc w:val="center"/>
      </w:pPr>
      <w:r>
        <w:rPr>
          <w:rFonts w:ascii="Arial" w:cs="Arial" w:eastAsia="Arial" w:hAnsi="Arial"/>
          <w:b/>
          <w:bCs/>
          <w:color w:val="1A2E4A"/>
          <w:sz w:val="52"/>
          <w:szCs w:val="52"/>
        </w:rPr>
        <w:t xml:space="preserve">The Adaptive Penalty Trap:</w:t>
      </w:r>
    </w:p>
    <w:p>
      <w:pPr>
        <w:spacing w:before="0" w:after="100"/>
        <w:jc w:val="center"/>
      </w:pPr>
      <w:r>
        <w:rPr>
          <w:rFonts w:ascii="Arial" w:cs="Arial" w:eastAsia="Arial" w:hAnsi="Arial"/>
          <w:b w:val="false"/>
          <w:bCs w:val="false"/>
          <w:color w:val="555555"/>
          <w:sz w:val="36"/>
          <w:szCs w:val="36"/>
        </w:rPr>
        <w:t xml:space="preserve">Static Benchmarks Systematically Misrank</w:t>
      </w:r>
    </w:p>
    <w:p>
      <w:pPr>
        <w:spacing w:before="0" w:after="200"/>
        <w:jc w:val="center"/>
      </w:pPr>
      <w:r>
        <w:rPr>
          <w:rFonts w:ascii="Arial" w:cs="Arial" w:eastAsia="Arial" w:hAnsi="Arial"/>
          <w:b/>
          <w:bCs/>
          <w:color w:val="C0392B"/>
          <w:sz w:val="36"/>
          <w:szCs w:val="36"/>
        </w:rPr>
        <w:t xml:space="preserve">Generative Graph Intelligence</w:t>
      </w:r>
    </w:p>
    <w:p>
      <w:pPr>
        <w:pBdr>
          <w:bottom w:val="single" w:color="DDDDDD" w:sz="4" w:space="4"/>
        </w:pBdr>
        <w:spacing w:before="0" w:after="60"/>
        <w:jc w:val="center"/>
      </w:pPr>
      <w:r>
        <w:rPr>
          <w:rFonts w:ascii="Arial" w:cs="Arial" w:eastAsia="Arial" w:hAnsi="Arial"/>
          <w:i/>
          <w:iCs/>
          <w:color w:val="888888"/>
          <w:sz w:val="20"/>
          <w:szCs w:val="20"/>
        </w:rPr>
        <w:t xml:space="preserve">Jose R. F. Junior · Under Review — NeurIPS 2026</w:t>
      </w:r>
    </w:p>
    <w:p>
      <w:pPr>
        <w:spacing w:before="160" w:after="0"/>
      </w:pPr>
      <w:r>
        <w:rPr>
          <w:rFonts w:ascii="Times New Roman" w:cs="Times New Roman" w:eastAsia="Times New Roman" w:hAnsi="Times New Roman"/>
          <w:b w:val="false"/>
          <w:bCs w:val="false"/>
          <w:i w:val="false"/>
          <w:iCs w:val="false"/>
          <w:color w:val="000000"/>
          <w:sz w:val="22"/>
          <w:szCs w:val="22"/>
        </w:rPr>
        <w:t xml:space="preserve"/>
      </w:r>
    </w:p>
    <w:p>
      <w:pPr>
        <w:spacing w:before="0" w:after="60"/>
        <w:jc w:val="center"/>
      </w:pPr>
      <w:r>
        <w:rPr>
          <w:rFonts w:ascii="Arial" w:cs="Arial" w:eastAsia="Arial" w:hAnsi="Arial"/>
          <w:b/>
          <w:bCs/>
          <w:color w:val="1A2E4A"/>
          <w:sz w:val="24"/>
          <w:szCs w:val="24"/>
        </w:rPr>
        <w:t xml:space="preserve">Abstract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2E4A" w:sz="8"/>
              <w:left w:val="thick" w:color="1A2E4A" w:sz="28"/>
              <w:bottom w:val="single" w:color="CCCCCC" w:sz="2"/>
              <w:right w:val="none" w:color="FFFFFF" w:sz="0"/>
            </w:tcBorders>
            <w:shd w:fill="F0F4FA" w:val="clear"/>
            <w:tcMar>
              <w:top w:type="dxa" w:w="120"/>
              <w:left w:type="dxa" w:w="200"/>
              <w:bottom w:type="dxa" w:w="120"/>
              <w:right w:type="dxa" w:w="180"/>
            </w:tcMar>
          </w:tcPr>
          <w:p>
            <w:pPr>
              <w:spacing w:before="0" w:after="0" w:line="280"/>
              <w:jc w:val="both"/>
            </w:pPr>
            <w:r>
              <w:rPr>
                <w:rFonts w:ascii="Times New Roman" w:cs="Times New Roman" w:eastAsia="Times New Roman" w:hAnsi="Times New Roman"/>
                <w:i/>
                <w:iCs/>
                <w:color w:val="222222"/>
                <w:sz w:val="22"/>
                <w:szCs w:val="22"/>
              </w:rPr>
              <w:t xml:space="preserve">We identify and formalize a fundamental evaluation failure affecting all generative and continually-learning graph systems: the Adaptive Penalty Trap. Standard link prediction benchmarks assume a closed, static graph universe. When applied to systems that actively reorganize their topology, these benchmarks invert true performance rankings — penalizing the most intelligent operational mode and rewarding structurally inert ones through a foam inflation artifact. We demonstrate this empirically using NietzscheDB, a hyperbolic dynamic graph system operating in Poincaré disk geometry with an L-System synthesis engine (Zaratustra). Across 300 experimental cycles on three operational conditions (Normal/elite-anchored, Off/foam-orphan, Inverted/anti-anchored), we establish: (1) a universal empirical law ∂AUC/∂TGC &gt; 0 (r = 0.697, p = 5.7×10⁻⁴⁵) — structural expansion causally correlates with inferential performance regardless of policy; (2) the Topological Growth Coefficient (TGC) functions as an order parameter for relational intelligence in non-stationary graphs; (3) static link prediction AUC is structurally anti-correlated with true generative quality when foam nodes are present. We introduce three corrective metrics — Generative Coherence AUC, Homophily Delta, and Node Classification Accuracy via linear probe — that restore the correct ordinal ranking and cannot be inflated by structural artifacts.</w:t>
            </w:r>
          </w:p>
        </w:tc>
      </w:tr>
    </w:tbl>
    <w:p>
      <w:pPr>
        <w:spacing w:before="200" w:after="0"/>
      </w:pPr>
      <w:r>
        <w:rPr>
          <w:rFonts w:ascii="Times New Roman" w:cs="Times New Roman" w:eastAsia="Times New Roman" w:hAnsi="Times New Roman"/>
          <w:b w:val="false"/>
          <w:bCs w:val="false"/>
          <w:i w:val="false"/>
          <w:iCs w:val="false"/>
          <w:color w:val="000000"/>
          <w:sz w:val="22"/>
          <w:szCs w:val="22"/>
        </w:rPr>
        <w:t xml:space="preserve"/>
      </w:r>
    </w:p>
    <w:p>
      <w:pPr>
        <w:pStyle w:val="Heading1"/>
        <w:pBdr>
          <w:bottom w:val="single" w:color="1A2E4A" w:sz="6" w:space="3"/>
        </w:pBdr>
        <w:spacing w:before="360" w:after="120"/>
      </w:pPr>
      <w:r>
        <w:rPr>
          <w:rFonts w:ascii="Arial" w:cs="Arial" w:eastAsia="Arial" w:hAnsi="Arial"/>
          <w:b/>
          <w:bCs/>
          <w:color w:val="1A2E4A"/>
          <w:sz w:val="26"/>
          <w:szCs w:val="26"/>
        </w:rPr>
        <w:t xml:space="preserve">1. Introduction</w:t>
      </w:r>
    </w:p>
    <w:p>
      <w:pPr>
        <w:spacing w:before="80" w:after="100" w:line="276"/>
        <w:jc w:val="both"/>
      </w:pPr>
      <w:r>
        <w:rPr>
          <w:rFonts w:ascii="Times New Roman" w:cs="Times New Roman" w:eastAsia="Times New Roman" w:hAnsi="Times New Roman"/>
          <w:b w:val="false"/>
          <w:bCs w:val="false"/>
          <w:i w:val="false"/>
          <w:iCs w:val="false"/>
          <w:color w:val="000000"/>
          <w:sz w:val="22"/>
          <w:szCs w:val="22"/>
        </w:rPr>
        <w:t xml:space="preserve">The dominant paradigm in graph machine learning evaluation treats the graph as a fixed substrate. Link prediction, node classification, and graph classification benchmarks all operate on a frozen snapshot: nodes are fixed, edges are fixed, and the model’s task is to recover withheld structure from this static universe.</w:t>
      </w:r>
    </w:p>
    <w:p>
      <w:pPr>
        <w:spacing w:before="80" w:after="100" w:line="276"/>
        <w:jc w:val="both"/>
      </w:pPr>
      <w:r>
        <w:rPr>
          <w:rFonts w:ascii="Times New Roman" w:cs="Times New Roman" w:eastAsia="Times New Roman" w:hAnsi="Times New Roman"/>
          <w:b w:val="false"/>
          <w:bCs w:val="false"/>
          <w:i w:val="false"/>
          <w:iCs w:val="false"/>
          <w:color w:val="000000"/>
          <w:sz w:val="22"/>
          <w:szCs w:val="22"/>
        </w:rPr>
        <w:t xml:space="preserve">This paradigm is internally consistent for static models — encoders that read a graph and produce embeddings. It breaks down completely for generative graph systems: architectures that actively synthesize new nodes and edges as part of their operation. In such systems, the graph at evaluation time is not the graph at training time. The embedding space has been reorganized. The metric’s assumptions are violated at every level.</w:t>
      </w:r>
    </w:p>
    <w:p>
      <w:pPr>
        <w:spacing w:before="80" w:after="100" w:line="276"/>
        <w:jc w:val="both"/>
      </w:pPr>
      <w:r>
        <w:rPr>
          <w:rFonts w:ascii="Times New Roman" w:cs="Times New Roman" w:eastAsia="Times New Roman" w:hAnsi="Times New Roman"/>
          <w:b w:val="false"/>
          <w:bCs w:val="false"/>
          <w:i w:val="false"/>
          <w:iCs w:val="false"/>
          <w:color w:val="000000"/>
          <w:sz w:val="22"/>
          <w:szCs w:val="22"/>
        </w:rPr>
        <w:t xml:space="preserve">We demonstrate that this violation is not merely a technical nuisance but a </w:t>
      </w:r>
      <w:r>
        <w:rPr>
          <w:rFonts w:ascii="Times New Roman" w:cs="Times New Roman" w:eastAsia="Times New Roman" w:hAnsi="Times New Roman"/>
          <w:b/>
          <w:bCs/>
          <w:i w:val="false"/>
          <w:iCs w:val="false"/>
          <w:color w:val="000000"/>
          <w:sz w:val="22"/>
          <w:szCs w:val="22"/>
        </w:rPr>
        <w:t xml:space="preserve">systematic inversion of rankings</w:t>
      </w:r>
      <w:r>
        <w:rPr>
          <w:rFonts w:ascii="Times New Roman" w:cs="Times New Roman" w:eastAsia="Times New Roman" w:hAnsi="Times New Roman"/>
          <w:b w:val="false"/>
          <w:bCs w:val="false"/>
          <w:i w:val="false"/>
          <w:iCs w:val="false"/>
          <w:color w:val="000000"/>
          <w:sz w:val="22"/>
          <w:szCs w:val="22"/>
        </w:rPr>
        <w:t xml:space="preserve">. The more a system learns and reorganizes, the worse it appears under static benchmarks. The most cognitively inert mode — generating structurally isolated foam that does not perturb the original graph — achieves the highest AUC. The most intelligent mode — actively building semantic bridges between knowledge hubs — achieves the lowest AUC. We call this the </w:t>
      </w:r>
      <w:r>
        <w:rPr>
          <w:rFonts w:ascii="Times New Roman" w:cs="Times New Roman" w:eastAsia="Times New Roman" w:hAnsi="Times New Roman"/>
          <w:b/>
          <w:bCs/>
          <w:i w:val="false"/>
          <w:iCs w:val="false"/>
          <w:color w:val="000000"/>
          <w:sz w:val="22"/>
          <w:szCs w:val="22"/>
        </w:rPr>
        <w:t xml:space="preserve">Adaptive Penalty Trap</w:t>
      </w:r>
      <w:r>
        <w:rPr>
          <w:rFonts w:ascii="Times New Roman" w:cs="Times New Roman" w:eastAsia="Times New Roman" w:hAnsi="Times New Roman"/>
          <w:b w:val="false"/>
          <w:bCs w:val="false"/>
          <w:i w:val="false"/>
          <w:iCs w:val="false"/>
          <w:color w:val="000000"/>
          <w:sz w:val="22"/>
          <w:szCs w:val="22"/>
        </w:rPr>
        <w:t xml:space="preserve">.</w:t>
      </w:r>
    </w:p>
    <w:p>
      <w:pPr>
        <w:pStyle w:val="Heading2"/>
        <w:spacing w:before="240" w:after="80"/>
      </w:pPr>
      <w:r>
        <w:rPr>
          <w:rFonts w:ascii="Arial" w:cs="Arial" w:eastAsia="Arial" w:hAnsi="Arial"/>
          <w:b/>
          <w:bCs/>
          <w:color w:val="1A2E4A"/>
          <w:sz w:val="23"/>
          <w:szCs w:val="23"/>
        </w:rPr>
        <w:t xml:space="preserve">1.1 Contributions</w:t>
      </w:r>
    </w:p>
    <w:p>
      <w:pPr>
        <w:pStyle w:val="ListParagraph"/>
        <w:numPr>
          <w:ilvl w:val="0"/>
          <w:numId w:val="2"/>
        </w:numPr>
        <w:spacing w:before="60" w:after="60" w:line="270"/>
      </w:pPr>
      <w:r>
        <w:rPr>
          <w:rFonts w:ascii="Times New Roman" w:cs="Times New Roman" w:eastAsia="Times New Roman" w:hAnsi="Times New Roman"/>
          <w:b/>
          <w:bCs/>
          <w:i w:val="false"/>
          <w:iCs w:val="false"/>
          <w:color w:val="000000"/>
          <w:sz w:val="22"/>
          <w:szCs w:val="22"/>
        </w:rPr>
        <w:t xml:space="preserve">Formal diagnosis</w:t>
      </w:r>
      <w:r>
        <w:rPr>
          <w:rFonts w:ascii="Times New Roman" w:cs="Times New Roman" w:eastAsia="Times New Roman" w:hAnsi="Times New Roman"/>
          <w:b w:val="false"/>
          <w:bCs w:val="false"/>
          <w:i w:val="false"/>
          <w:iCs w:val="false"/>
          <w:color w:val="000000"/>
          <w:sz w:val="22"/>
          <w:szCs w:val="22"/>
        </w:rPr>
        <w:t xml:space="preserve"> of the Adaptive Penalty Trap: we identify the three structural assumptions violated by generative graphs and derive exactly how each violation distorts AUC.</w:t>
      </w:r>
    </w:p>
    <w:p>
      <w:pPr>
        <w:pStyle w:val="ListParagraph"/>
        <w:numPr>
          <w:ilvl w:val="0"/>
          <w:numId w:val="2"/>
        </w:numPr>
        <w:spacing w:before="60" w:after="60" w:line="270"/>
      </w:pPr>
      <w:r>
        <w:rPr>
          <w:rFonts w:ascii="Times New Roman" w:cs="Times New Roman" w:eastAsia="Times New Roman" w:hAnsi="Times New Roman"/>
          <w:b/>
          <w:bCs/>
          <w:i w:val="false"/>
          <w:iCs w:val="false"/>
          <w:color w:val="000000"/>
          <w:sz w:val="22"/>
          <w:szCs w:val="22"/>
        </w:rPr>
        <w:t xml:space="preserve">Empirical validation</w:t>
      </w:r>
      <w:r>
        <w:rPr>
          <w:rFonts w:ascii="Times New Roman" w:cs="Times New Roman" w:eastAsia="Times New Roman" w:hAnsi="Times New Roman"/>
          <w:b w:val="false"/>
          <w:bCs w:val="false"/>
          <w:i w:val="false"/>
          <w:iCs w:val="false"/>
          <w:color w:val="000000"/>
          <w:sz w:val="22"/>
          <w:szCs w:val="22"/>
        </w:rPr>
        <w:t xml:space="preserve"> at GPU scale (NVIDIA L4, CUDA-accelerated Poincaré distance) across 300 cycles and three operational conditions, establishing ∂AUC/∂TGC &gt; 0 as a universal empirical law.</w:t>
      </w:r>
    </w:p>
    <w:p>
      <w:pPr>
        <w:pStyle w:val="ListParagraph"/>
        <w:numPr>
          <w:ilvl w:val="0"/>
          <w:numId w:val="2"/>
        </w:numPr>
        <w:spacing w:before="60" w:after="60" w:line="270"/>
      </w:pPr>
      <w:r>
        <w:rPr>
          <w:rFonts w:ascii="Times New Roman" w:cs="Times New Roman" w:eastAsia="Times New Roman" w:hAnsi="Times New Roman"/>
          <w:b/>
          <w:bCs/>
          <w:i w:val="false"/>
          <w:iCs w:val="false"/>
          <w:color w:val="000000"/>
          <w:sz w:val="22"/>
          <w:szCs w:val="22"/>
        </w:rPr>
        <w:t xml:space="preserve">The Topological Growth Coefficient (TGC)</w:t>
      </w:r>
      <w:r>
        <w:rPr>
          <w:rFonts w:ascii="Times New Roman" w:cs="Times New Roman" w:eastAsia="Times New Roman" w:hAnsi="Times New Roman"/>
          <w:b w:val="false"/>
          <w:bCs w:val="false"/>
          <w:i w:val="false"/>
          <w:iCs w:val="false"/>
          <w:color w:val="000000"/>
          <w:sz w:val="22"/>
          <w:szCs w:val="22"/>
        </w:rPr>
        <w:t xml:space="preserve"> as a measurable order parameter for relational intelligence in non-stationary hyperbolic graphs.</w:t>
      </w:r>
    </w:p>
    <w:p>
      <w:pPr>
        <w:pStyle w:val="ListParagraph"/>
        <w:numPr>
          <w:ilvl w:val="0"/>
          <w:numId w:val="2"/>
        </w:numPr>
        <w:spacing w:before="60" w:after="60" w:line="270"/>
      </w:pPr>
      <w:r>
        <w:rPr>
          <w:rFonts w:ascii="Times New Roman" w:cs="Times New Roman" w:eastAsia="Times New Roman" w:hAnsi="Times New Roman"/>
          <w:b/>
          <w:bCs/>
          <w:i w:val="false"/>
          <w:iCs w:val="false"/>
          <w:color w:val="000000"/>
          <w:sz w:val="22"/>
          <w:szCs w:val="22"/>
        </w:rPr>
        <w:t xml:space="preserve">Three corrective metrics</w:t>
      </w:r>
      <w:r>
        <w:rPr>
          <w:rFonts w:ascii="Times New Roman" w:cs="Times New Roman" w:eastAsia="Times New Roman" w:hAnsi="Times New Roman"/>
          <w:b w:val="false"/>
          <w:bCs w:val="false"/>
          <w:i w:val="false"/>
          <w:iCs w:val="false"/>
          <w:color w:val="000000"/>
          <w:sz w:val="22"/>
          <w:szCs w:val="22"/>
        </w:rPr>
        <w:t xml:space="preserve"> — Generative Coherence AUC, Homophily Delta, and Node Classification Accuracy — that are structurally immune to foam inflation.</w:t>
      </w:r>
    </w:p>
    <w:p>
      <w:pPr>
        <w:pStyle w:val="ListParagraph"/>
        <w:numPr>
          <w:ilvl w:val="0"/>
          <w:numId w:val="2"/>
        </w:numPr>
        <w:spacing w:before="60" w:after="60" w:line="270"/>
      </w:pPr>
      <w:r>
        <w:rPr>
          <w:rFonts w:ascii="Times New Roman" w:cs="Times New Roman" w:eastAsia="Times New Roman" w:hAnsi="Times New Roman"/>
          <w:b/>
          <w:bCs/>
          <w:i w:val="false"/>
          <w:iCs w:val="false"/>
          <w:color w:val="000000"/>
          <w:sz w:val="22"/>
          <w:szCs w:val="22"/>
        </w:rPr>
        <w:t xml:space="preserve">A general principle:</w:t>
      </w:r>
      <w:r>
        <w:rPr>
          <w:rFonts w:ascii="Times New Roman" w:cs="Times New Roman" w:eastAsia="Times New Roman" w:hAnsi="Times New Roman"/>
          <w:b w:val="false"/>
          <w:bCs w:val="false"/>
          <w:i w:val="false"/>
          <w:iCs w:val="false"/>
          <w:color w:val="000000"/>
          <w:sz w:val="22"/>
          <w:szCs w:val="22"/>
        </w:rPr>
        <w:t xml:space="preserve"> a system can degrade on classical benchmarks precisely as it becomes more intelligent. This is not a bug in NietzscheDB. It is a bug in the evaluation methodology.</w:t>
      </w:r>
    </w:p>
    <w:p>
      <w:pPr>
        <w:pStyle w:val="Heading1"/>
        <w:pBdr>
          <w:bottom w:val="single" w:color="1A2E4A" w:sz="6" w:space="3"/>
        </w:pBdr>
        <w:spacing w:before="360" w:after="120"/>
      </w:pPr>
      <w:r>
        <w:rPr>
          <w:rFonts w:ascii="Arial" w:cs="Arial" w:eastAsia="Arial" w:hAnsi="Arial"/>
          <w:b/>
          <w:bCs/>
          <w:color w:val="1A2E4A"/>
          <w:sz w:val="26"/>
          <w:szCs w:val="26"/>
        </w:rPr>
        <w:t xml:space="preserve">2. Background and Related Work</w:t>
      </w:r>
    </w:p>
    <w:p>
      <w:pPr>
        <w:pStyle w:val="Heading2"/>
        <w:spacing w:before="240" w:after="80"/>
      </w:pPr>
      <w:r>
        <w:rPr>
          <w:rFonts w:ascii="Arial" w:cs="Arial" w:eastAsia="Arial" w:hAnsi="Arial"/>
          <w:b/>
          <w:bCs/>
          <w:color w:val="1A2E4A"/>
          <w:sz w:val="23"/>
          <w:szCs w:val="23"/>
        </w:rPr>
        <w:t xml:space="preserve">2.1 Hyperbolic Graph Embeddings</w:t>
      </w:r>
    </w:p>
    <w:p>
      <w:pPr>
        <w:spacing w:before="80" w:after="100" w:line="276"/>
        <w:jc w:val="both"/>
      </w:pPr>
      <w:r>
        <w:rPr>
          <w:rFonts w:ascii="Times New Roman" w:cs="Times New Roman" w:eastAsia="Times New Roman" w:hAnsi="Times New Roman"/>
          <w:b w:val="false"/>
          <w:bCs w:val="false"/>
          <w:i w:val="false"/>
          <w:iCs w:val="false"/>
          <w:color w:val="000000"/>
          <w:sz w:val="22"/>
          <w:szCs w:val="22"/>
        </w:rPr>
        <w:t xml:space="preserve">Hyperbolic space, particularly the Poincaré disk model </w:t>
      </w:r>
      <w:r>
        <w:rPr>
          <w:rFonts w:ascii="Times New Roman" w:cs="Times New Roman" w:eastAsia="Times New Roman" w:hAnsi="Times New Roman"/>
          <w:b w:val="false"/>
          <w:bCs w:val="false"/>
          <w:i/>
          <w:iCs/>
          <w:color w:val="000000"/>
          <w:sz w:val="22"/>
          <w:szCs w:val="22"/>
        </w:rPr>
        <w:t xml:space="preserve">D</w:t>
      </w:r>
      <w:r>
        <w:rPr>
          <w:rFonts w:ascii="Times New Roman" w:cs="Times New Roman" w:eastAsia="Times New Roman" w:hAnsi="Times New Roman"/>
          <w:b w:val="false"/>
          <w:bCs w:val="false"/>
          <w:i w:val="false"/>
          <w:iCs w:val="false"/>
          <w:color w:val="000000"/>
          <w:sz w:val="22"/>
          <w:szCs w:val="22"/>
        </w:rPr>
        <w:t>ⁿ = {x ∈ ℝⁿ : ‖x‖ &lt; 1} with metric tensor gₓ, has been shown to naturally accommodate hierarchical and scale-free graph structures [Nickel &amp; Kiela, 2017; Chami et al., 2019]. The geodesic distance:</w:t>
      </w:r>
    </w:p>
    <w:p>
      <w:pPr>
        <w:spacing w:before="140" w:after="140"/>
        <w:jc w:val="center"/>
      </w:pPr>
      <w:r>
        <w:rPr>
          <w:rFonts w:ascii="Courier New" w:cs="Courier New" w:eastAsia="Courier New" w:hAnsi="Courier New"/>
          <w:color w:val="1A2E4A"/>
          <w:sz w:val="22"/>
          <w:szCs w:val="22"/>
        </w:rPr>
        <w:t xml:space="preserve">d_H(u,v) = arccosh( 1 + 2‖u-v‖² / ((1-‖u‖²)(1-‖v‖²)) )</w:t>
      </w:r>
    </w:p>
    <w:p>
      <w:pPr>
        <w:spacing w:before="80" w:after="100" w:line="276"/>
        <w:jc w:val="both"/>
      </w:pPr>
      <w:r>
        <w:rPr>
          <w:rFonts w:ascii="Times New Roman" w:cs="Times New Roman" w:eastAsia="Times New Roman" w:hAnsi="Times New Roman"/>
          <w:b w:val="false"/>
          <w:bCs w:val="false"/>
          <w:i w:val="false"/>
          <w:iCs w:val="false"/>
          <w:color w:val="000000"/>
          <w:sz w:val="22"/>
          <w:szCs w:val="22"/>
        </w:rPr>
        <w:t xml:space="preserve">grows exponentially with depth in tree-structured data, making it exponentially more expressive than Euclidean embeddings for hierarchical graphs.</w:t>
      </w:r>
    </w:p>
    <w:p>
      <w:pPr>
        <w:pStyle w:val="Heading2"/>
        <w:spacing w:before="240" w:after="80"/>
      </w:pPr>
      <w:r>
        <w:rPr>
          <w:rFonts w:ascii="Arial" w:cs="Arial" w:eastAsia="Arial" w:hAnsi="Arial"/>
          <w:b/>
          <w:bCs/>
          <w:color w:val="1A2E4A"/>
          <w:sz w:val="23"/>
          <w:szCs w:val="23"/>
        </w:rPr>
        <w:t xml:space="preserve">2.2 Dynamic Graph Learning</w:t>
      </w:r>
    </w:p>
    <w:p>
      <w:pPr>
        <w:spacing w:before="80" w:after="100" w:line="276"/>
        <w:jc w:val="both"/>
      </w:pPr>
      <w:r>
        <w:rPr>
          <w:rFonts w:ascii="Times New Roman" w:cs="Times New Roman" w:eastAsia="Times New Roman" w:hAnsi="Times New Roman"/>
          <w:b w:val="false"/>
          <w:bCs w:val="false"/>
          <w:i w:val="false"/>
          <w:iCs w:val="false"/>
          <w:color w:val="000000"/>
          <w:sz w:val="22"/>
          <w:szCs w:val="22"/>
        </w:rPr>
        <w:t xml:space="preserve">The literature on dynamic graphs [Kazemi et al., 2020; Rossi et al., 2020] predominantly addresses </w:t>
      </w:r>
      <w:r>
        <w:rPr>
          <w:rFonts w:ascii="Times New Roman" w:cs="Times New Roman" w:eastAsia="Times New Roman" w:hAnsi="Times New Roman"/>
          <w:b w:val="false"/>
          <w:bCs w:val="false"/>
          <w:i/>
          <w:iCs/>
          <w:color w:val="000000"/>
          <w:sz w:val="22"/>
          <w:szCs w:val="22"/>
        </w:rPr>
        <w:t xml:space="preserve">predicting</w:t>
      </w:r>
      <w:r>
        <w:rPr>
          <w:rFonts w:ascii="Times New Roman" w:cs="Times New Roman" w:eastAsia="Times New Roman" w:hAnsi="Times New Roman"/>
          <w:b w:val="false"/>
          <w:bCs w:val="false"/>
          <w:i w:val="false"/>
          <w:iCs w:val="false"/>
          <w:color w:val="000000"/>
          <w:sz w:val="22"/>
          <w:szCs w:val="22"/>
        </w:rPr>
        <w:t xml:space="preserve"> future edges in graphs that change exogenously. This is categorically different from </w:t>
      </w:r>
      <w:r>
        <w:rPr>
          <w:rFonts w:ascii="Times New Roman" w:cs="Times New Roman" w:eastAsia="Times New Roman" w:hAnsi="Times New Roman"/>
          <w:b w:val="false"/>
          <w:bCs w:val="false"/>
          <w:i/>
          <w:iCs/>
          <w:color w:val="000000"/>
          <w:sz w:val="22"/>
          <w:szCs w:val="22"/>
        </w:rPr>
        <w:t xml:space="preserve">generative</w:t>
      </w:r>
      <w:r>
        <w:rPr>
          <w:rFonts w:ascii="Times New Roman" w:cs="Times New Roman" w:eastAsia="Times New Roman" w:hAnsi="Times New Roman"/>
          <w:b w:val="false"/>
          <w:bCs w:val="false"/>
          <w:i w:val="false"/>
          <w:iCs w:val="false"/>
          <w:color w:val="000000"/>
          <w:sz w:val="22"/>
          <w:szCs w:val="22"/>
        </w:rPr>
        <w:t xml:space="preserve"> dynamics, where the graph changes because the model itself synthesizes new structure. We are not aware of prior work that explicitly studies the evaluation implications of this distinction.</w:t>
      </w:r>
    </w:p>
    <w:p>
      <w:pPr>
        <w:pStyle w:val="Heading2"/>
        <w:spacing w:before="240" w:after="80"/>
      </w:pPr>
      <w:r>
        <w:rPr>
          <w:rFonts w:ascii="Arial" w:cs="Arial" w:eastAsia="Arial" w:hAnsi="Arial"/>
          <w:b/>
          <w:bCs/>
          <w:color w:val="1A2E4A"/>
          <w:sz w:val="23"/>
          <w:szCs w:val="23"/>
        </w:rPr>
        <w:t xml:space="preserve">2.3 Continual Learning and Evaluation</w:t>
      </w:r>
    </w:p>
    <w:p>
      <w:pPr>
        <w:spacing w:before="80" w:after="100" w:line="276"/>
        <w:jc w:val="both"/>
      </w:pPr>
      <w:r>
        <w:rPr>
          <w:rFonts w:ascii="Times New Roman" w:cs="Times New Roman" w:eastAsia="Times New Roman" w:hAnsi="Times New Roman"/>
          <w:b w:val="false"/>
          <w:bCs w:val="false"/>
          <w:i w:val="false"/>
          <w:iCs w:val="false"/>
          <w:color w:val="000000"/>
          <w:sz w:val="22"/>
          <w:szCs w:val="22"/>
        </w:rPr>
        <w:t xml:space="preserve">The continual learning literature [Parisi et al., 2019; De Lange et al., 2022] has extensively studied catastrophic forgetting. The Adaptive Penalty Trap is a distinct but structurally related phenomenon: </w:t>
      </w:r>
      <w:r>
        <w:rPr>
          <w:rFonts w:ascii="Times New Roman" w:cs="Times New Roman" w:eastAsia="Times New Roman" w:hAnsi="Times New Roman"/>
          <w:b/>
          <w:bCs/>
          <w:i w:val="false"/>
          <w:iCs w:val="false"/>
          <w:color w:val="000000"/>
          <w:sz w:val="22"/>
          <w:szCs w:val="22"/>
        </w:rPr>
        <w:t xml:space="preserve">the metric itself is the old task</w:t>
      </w:r>
      <w:r>
        <w:rPr>
          <w:rFonts w:ascii="Times New Roman" w:cs="Times New Roman" w:eastAsia="Times New Roman" w:hAnsi="Times New Roman"/>
          <w:b w:val="false"/>
          <w:bCs w:val="false"/>
          <w:i w:val="false"/>
          <w:iCs w:val="false"/>
          <w:color w:val="000000"/>
          <w:sz w:val="22"/>
          <w:szCs w:val="22"/>
        </w:rPr>
        <w:t xml:space="preserve">, and the system is penalized for transcending it.</w:t>
      </w:r>
    </w:p>
    <w:p>
      <w:pPr>
        <w:pStyle w:val="Heading2"/>
        <w:spacing w:before="240" w:after="80"/>
      </w:pPr>
      <w:r>
        <w:rPr>
          <w:rFonts w:ascii="Arial" w:cs="Arial" w:eastAsia="Arial" w:hAnsi="Arial"/>
          <w:b/>
          <w:bCs/>
          <w:color w:val="1A2E4A"/>
          <w:sz w:val="23"/>
          <w:szCs w:val="23"/>
        </w:rPr>
        <w:t xml:space="preserve">2.4 Link Prediction Benchmarks</w:t>
      </w:r>
    </w:p>
    <w:p>
      <w:pPr>
        <w:spacing w:before="80" w:after="100" w:line="276"/>
        <w:jc w:val="both"/>
      </w:pPr>
      <w:r>
        <w:rPr>
          <w:rFonts w:ascii="Times New Roman" w:cs="Times New Roman" w:eastAsia="Times New Roman" w:hAnsi="Times New Roman"/>
          <w:b w:val="false"/>
          <w:bCs w:val="false"/>
          <w:i w:val="false"/>
          <w:iCs w:val="false"/>
          <w:color w:val="000000"/>
          <w:sz w:val="22"/>
          <w:szCs w:val="22"/>
        </w:rPr>
        <w:t xml:space="preserve">Standard link prediction [Hamilton et al., 2017] samples negative edges uniformly from non-edges. When a generative system adds structurally isolated nodes (foam), these nodes are near-infinitely distant from all original nodes in hyperbolic space, making them trivially easy negatives. This inflates AUC without reflecting any inferential capability — a specific instance of what we term </w:t>
      </w:r>
      <w:r>
        <w:rPr>
          <w:rFonts w:ascii="Times New Roman" w:cs="Times New Roman" w:eastAsia="Times New Roman" w:hAnsi="Times New Roman"/>
          <w:b/>
          <w:bCs/>
          <w:i w:val="false"/>
          <w:iCs w:val="false"/>
          <w:color w:val="000000"/>
          <w:sz w:val="22"/>
          <w:szCs w:val="22"/>
        </w:rPr>
        <w:t xml:space="preserve">foam inflation</w:t>
      </w:r>
      <w:r>
        <w:rPr>
          <w:rFonts w:ascii="Times New Roman" w:cs="Times New Roman" w:eastAsia="Times New Roman" w:hAnsi="Times New Roman"/>
          <w:b w:val="false"/>
          <w:bCs w:val="false"/>
          <w:i w:val="false"/>
          <w:iCs w:val="false"/>
          <w:color w:val="000000"/>
          <w:sz w:val="22"/>
          <w:szCs w:val="22"/>
        </w:rPr>
        <w:t xml:space="preserve">.</w:t>
      </w:r>
    </w:p>
    <w:p>
      <w:pPr>
        <w:pStyle w:val="Heading1"/>
        <w:pBdr>
          <w:bottom w:val="single" w:color="1A2E4A" w:sz="6" w:space="3"/>
        </w:pBdr>
        <w:spacing w:before="360" w:after="120"/>
      </w:pPr>
      <w:r>
        <w:rPr>
          <w:rFonts w:ascii="Arial" w:cs="Arial" w:eastAsia="Arial" w:hAnsi="Arial"/>
          <w:b/>
          <w:bCs/>
          <w:color w:val="1A2E4A"/>
          <w:sz w:val="26"/>
          <w:szCs w:val="26"/>
        </w:rPr>
        <w:t xml:space="preserve">3. System: NietzscheDB</w:t>
      </w:r>
    </w:p>
    <w:p>
      <w:pPr>
        <w:pStyle w:val="Heading2"/>
        <w:spacing w:before="240" w:after="80"/>
      </w:pPr>
      <w:r>
        <w:rPr>
          <w:rFonts w:ascii="Arial" w:cs="Arial" w:eastAsia="Arial" w:hAnsi="Arial"/>
          <w:b/>
          <w:bCs/>
          <w:color w:val="1A2E4A"/>
          <w:sz w:val="23"/>
          <w:szCs w:val="23"/>
        </w:rPr>
        <w:t xml:space="preserve">3.1 Architecture</w:t>
      </w:r>
    </w:p>
    <w:p>
      <w:pPr>
        <w:spacing w:before="80" w:after="100" w:line="276"/>
        <w:jc w:val="both"/>
      </w:pPr>
      <w:r>
        <w:rPr>
          <w:rFonts w:ascii="Times New Roman" w:cs="Times New Roman" w:eastAsia="Times New Roman" w:hAnsi="Times New Roman"/>
          <w:b w:val="false"/>
          <w:bCs w:val="false"/>
          <w:i w:val="false"/>
          <w:iCs w:val="false"/>
          <w:color w:val="000000"/>
          <w:sz w:val="22"/>
          <w:szCs w:val="22"/>
        </w:rPr>
        <w:t xml:space="preserve">NietzscheDB is a dynamic hyperbolic graph database. Its core components are: (1) a </w:t>
      </w:r>
      <w:r>
        <w:rPr>
          <w:rFonts w:ascii="Times New Roman" w:cs="Times New Roman" w:eastAsia="Times New Roman" w:hAnsi="Times New Roman"/>
          <w:b/>
          <w:bCs/>
          <w:i w:val="false"/>
          <w:iCs w:val="false"/>
          <w:color w:val="000000"/>
          <w:sz w:val="22"/>
          <w:szCs w:val="22"/>
        </w:rPr>
        <w:t xml:space="preserve">Poincaré Disk Embedding Space</w:t>
      </w:r>
      <w:r>
        <w:rPr>
          <w:rFonts w:ascii="Times New Roman" w:cs="Times New Roman" w:eastAsia="Times New Roman" w:hAnsi="Times New Roman"/>
          <w:b w:val="false"/>
          <w:bCs w:val="false"/>
          <w:i w:val="false"/>
          <w:iCs w:val="false"/>
          <w:color w:val="000000"/>
          <w:sz w:val="22"/>
          <w:szCs w:val="22"/>
        </w:rPr>
        <w:t xml:space="preserve"> with all nodes embedded in </w:t>
      </w:r>
      <w:r>
        <w:rPr>
          <w:rFonts w:ascii="Times New Roman" w:cs="Times New Roman" w:eastAsia="Times New Roman" w:hAnsi="Times New Roman"/>
          <w:b w:val="false"/>
          <w:bCs w:val="false"/>
          <w:i/>
          <w:iCs/>
          <w:color w:val="000000"/>
          <w:sz w:val="22"/>
          <w:szCs w:val="22"/>
        </w:rPr>
        <w:t xml:space="preserve">D</w:t>
      </w:r>
      <w:r>
        <w:rPr>
          <w:rFonts w:ascii="Times New Roman" w:cs="Times New Roman" w:eastAsia="Times New Roman" w:hAnsi="Times New Roman"/>
          <w:b w:val="false"/>
          <w:bCs w:val="false"/>
          <w:i w:val="false"/>
          <w:iCs w:val="false"/>
          <w:color w:val="000000"/>
          <w:sz w:val="22"/>
          <w:szCs w:val="22"/>
        </w:rPr>
        <w:t xml:space="preserve">ᴰ (D = 64); (2) the </w:t>
      </w:r>
      <w:r>
        <w:rPr>
          <w:rFonts w:ascii="Times New Roman" w:cs="Times New Roman" w:eastAsia="Times New Roman" w:hAnsi="Times New Roman"/>
          <w:b/>
          <w:bCs/>
          <w:i w:val="false"/>
          <w:iCs w:val="false"/>
          <w:color w:val="000000"/>
          <w:sz w:val="22"/>
          <w:szCs w:val="22"/>
        </w:rPr>
        <w:t xml:space="preserve">Zaratustra Engine</w:t>
      </w:r>
      <w:r>
        <w:rPr>
          <w:rFonts w:ascii="Times New Roman" w:cs="Times New Roman" w:eastAsia="Times New Roman" w:hAnsi="Times New Roman"/>
          <w:b w:val="false"/>
          <w:bCs w:val="false"/>
          <w:i w:val="false"/>
          <w:iCs w:val="false"/>
          <w:color w:val="000000"/>
          <w:sz w:val="22"/>
          <w:szCs w:val="22"/>
        </w:rPr>
        <w:t xml:space="preserve">, an L-System synthesis engine that rewrites topology at each cycle; (3) a </w:t>
      </w:r>
      <w:r>
        <w:rPr>
          <w:rFonts w:ascii="Times New Roman" w:cs="Times New Roman" w:eastAsia="Times New Roman" w:hAnsi="Times New Roman"/>
          <w:b/>
          <w:bCs/>
          <w:i w:val="false"/>
          <w:iCs w:val="false"/>
          <w:color w:val="000000"/>
          <w:sz w:val="22"/>
          <w:szCs w:val="22"/>
        </w:rPr>
        <w:t xml:space="preserve">2-layer GCN Encoder</w:t>
      </w:r>
      <w:r>
        <w:rPr>
          <w:rFonts w:ascii="Times New Roman" w:cs="Times New Roman" w:eastAsia="Times New Roman" w:hAnsi="Times New Roman"/>
          <w:b w:val="false"/>
          <w:bCs w:val="false"/>
          <w:i w:val="false"/>
          <w:iCs w:val="false"/>
          <w:color w:val="000000"/>
          <w:sz w:val="22"/>
          <w:szCs w:val="22"/>
        </w:rPr>
        <w:t xml:space="preserve"> [Kipf &amp; Welling, 2017] with spectral normalization operating over the current adjacency A</w:t>
      </w:r>
      <w:r>
        <w:rPr>
          <w:rFonts w:ascii="Times New Roman" w:cs="Times New Roman" w:eastAsia="Times New Roman" w:hAnsi="Times New Roman"/>
          <w:sz w:val="22"/>
          <w:szCs w:val="22"/>
          <w:vertAlign w:val="subscript"/>
        </w:rPr>
        <w:t xml:space="preserve">t</w:t>
      </w:r>
      <w:r>
        <w:rPr>
          <w:rFonts w:ascii="Times New Roman" w:cs="Times New Roman" w:eastAsia="Times New Roman" w:hAnsi="Times New Roman"/>
          <w:b w:val="false"/>
          <w:bCs w:val="false"/>
          <w:i w:val="false"/>
          <w:iCs w:val="false"/>
          <w:color w:val="000000"/>
          <w:sz w:val="22"/>
          <w:szCs w:val="22"/>
        </w:rPr>
        <w:t xml:space="preserve">.</w:t>
      </w:r>
    </w:p>
    <w:p>
      <w:pPr>
        <w:pStyle w:val="Heading2"/>
        <w:spacing w:before="240" w:after="80"/>
      </w:pPr>
      <w:r>
        <w:rPr>
          <w:rFonts w:ascii="Arial" w:cs="Arial" w:eastAsia="Arial" w:hAnsi="Arial"/>
          <w:b/>
          <w:bCs/>
          <w:color w:val="1A2E4A"/>
          <w:sz w:val="23"/>
          <w:szCs w:val="23"/>
        </w:rPr>
        <w:t xml:space="preserve">3.2 The Zaratustra Engine and Operational Conditions</w:t>
      </w:r>
    </w:p>
    <w:p>
      <w:pPr>
        <w:spacing w:before="80" w:after="100" w:line="276"/>
        <w:jc w:val="both"/>
      </w:pPr>
      <w:r>
        <w:rPr>
          <w:rFonts w:ascii="Times New Roman" w:cs="Times New Roman" w:eastAsia="Times New Roman" w:hAnsi="Times New Roman"/>
          <w:b w:val="false"/>
          <w:bCs w:val="false"/>
          <w:i w:val="false"/>
          <w:iCs w:val="false"/>
          <w:color w:val="000000"/>
          <w:sz w:val="22"/>
          <w:szCs w:val="22"/>
        </w:rPr>
        <w:t xml:space="preserve">At each cycle t, Zaratustra selects a seed set Sₜ and applies production rules generating κ = 2 new edges per seed. Three anchoring policies define the experimental conditions:</w:t>
      </w:r>
    </w:p>
    <w:p>
      <w:pPr>
        <w:spacing w:before="60" w:after="0"/>
      </w:pPr>
      <w:r>
        <w:rPr>
          <w:rFonts w:ascii="Times New Roman" w:cs="Times New Roman" w:eastAsia="Times New Roman" w:hAnsi="Times New Roman"/>
          <w:b w:val="false"/>
          <w:bCs w:val="false"/>
          <w:i w:val="false"/>
          <w:iCs w:val="false"/>
          <w:color w:val="000000"/>
          <w:sz w:val="22"/>
          <w:szCs w:val="22"/>
        </w:rPr>
        <w:t xml:space="preserve"/>
      </w:r>
    </w:p>
    <w:p>
      <w:pPr>
        <w:spacing w:before="160" w:after="60"/>
      </w:pPr>
      <w:r>
        <w:rPr>
          <w:rFonts w:ascii="Arial" w:cs="Arial" w:eastAsia="Arial" w:hAnsi="Arial"/>
          <w:b/>
          <w:bCs/>
          <w:color w:val="555555"/>
          <w:sz w:val="22"/>
          <w:szCs w:val="22"/>
        </w:rPr>
        <w:t xml:space="preserve">Normal (elite-anchored):</w:t>
      </w:r>
    </w:p>
    <w:p>
      <w:pPr>
        <w:spacing w:before="140" w:after="140"/>
        <w:jc w:val="center"/>
      </w:pPr>
      <w:r>
        <w:rPr>
          <w:rFonts w:ascii="Courier New" w:cs="Courier New" w:eastAsia="Courier New" w:hAnsi="Courier New"/>
          <w:color w:val="1A2E4A"/>
          <w:sz w:val="22"/>
          <w:szCs w:val="22"/>
        </w:rPr>
        <w:t xml:space="preserve">S_t = { v ∈ V_t | deg_t(v) &gt; μ_deg + kσ_deg }</w:t>
      </w:r>
    </w:p>
    <w:p>
      <w:pPr>
        <w:spacing w:before="80" w:after="100" w:line="276"/>
        <w:jc w:val="both"/>
      </w:pPr>
      <w:r>
        <w:rPr>
          <w:rFonts w:ascii="Times New Roman" w:cs="Times New Roman" w:eastAsia="Times New Roman" w:hAnsi="Times New Roman"/>
          <w:b w:val="false"/>
          <w:bCs w:val="false"/>
          <w:i w:val="false"/>
          <w:iCs w:val="false"/>
          <w:color w:val="000000"/>
          <w:sz w:val="22"/>
          <w:szCs w:val="22"/>
        </w:rPr>
        <w:t xml:space="preserve">New edges connect elite nodes to each other and to their structural neighborhoods, driving hub consolidation, semantic compression, and eigenvalue redistribution of the normalized adjacency.</w:t>
      </w:r>
    </w:p>
    <w:p>
      <w:pPr>
        <w:spacing w:before="60" w:after="0"/>
      </w:pPr>
      <w:r>
        <w:rPr>
          <w:rFonts w:ascii="Times New Roman" w:cs="Times New Roman" w:eastAsia="Times New Roman" w:hAnsi="Times New Roman"/>
          <w:b w:val="false"/>
          <w:bCs w:val="false"/>
          <w:i w:val="false"/>
          <w:iCs w:val="false"/>
          <w:color w:val="000000"/>
          <w:sz w:val="22"/>
          <w:szCs w:val="22"/>
        </w:rPr>
        <w:t xml:space="preserve"/>
      </w:r>
    </w:p>
    <w:p>
      <w:pPr>
        <w:spacing w:before="160" w:after="60"/>
      </w:pPr>
      <w:r>
        <w:rPr>
          <w:rFonts w:ascii="Arial" w:cs="Arial" w:eastAsia="Arial" w:hAnsi="Arial"/>
          <w:b/>
          <w:bCs/>
          <w:color w:val="555555"/>
          <w:sz w:val="22"/>
          <w:szCs w:val="22"/>
        </w:rPr>
        <w:t xml:space="preserve">Off (foam-orphan):</w:t>
      </w:r>
    </w:p>
    <w:p>
      <w:pPr>
        <w:spacing w:before="140" w:after="140"/>
        <w:jc w:val="center"/>
      </w:pPr>
      <w:r>
        <w:rPr>
          <w:rFonts w:ascii="Courier New" w:cs="Courier New" w:eastAsia="Courier New" w:hAnsi="Courier New"/>
          <w:color w:val="1A2E4A"/>
          <w:sz w:val="22"/>
          <w:szCs w:val="22"/>
        </w:rPr>
        <w:t xml:space="preserve">S_t = ∅  ⇒  new nodes generated without attachment</w:t>
      </w:r>
    </w:p>
    <w:p>
      <w:pPr>
        <w:spacing w:before="80" w:after="100" w:line="276"/>
        <w:jc w:val="both"/>
      </w:pPr>
      <w:r>
        <w:rPr>
          <w:rFonts w:ascii="Times New Roman" w:cs="Times New Roman" w:eastAsia="Times New Roman" w:hAnsi="Times New Roman"/>
          <w:b w:val="false"/>
          <w:bCs w:val="false"/>
          <w:i w:val="false"/>
          <w:iCs w:val="false"/>
          <w:color w:val="000000"/>
          <w:sz w:val="22"/>
          <w:szCs w:val="22"/>
        </w:rPr>
        <w:t xml:space="preserve">Foam nodes are initialized near the boundary of the Poincaré disk (‖v‖ → 1) with no edges to existing structure. Structurally inert.</w:t>
      </w:r>
    </w:p>
    <w:p>
      <w:pPr>
        <w:spacing w:before="60" w:after="0"/>
      </w:pPr>
      <w:r>
        <w:rPr>
          <w:rFonts w:ascii="Times New Roman" w:cs="Times New Roman" w:eastAsia="Times New Roman" w:hAnsi="Times New Roman"/>
          <w:b w:val="false"/>
          <w:bCs w:val="false"/>
          <w:i w:val="false"/>
          <w:iCs w:val="false"/>
          <w:color w:val="000000"/>
          <w:sz w:val="22"/>
          <w:szCs w:val="22"/>
        </w:rPr>
        <w:t xml:space="preserve"/>
      </w:r>
    </w:p>
    <w:p>
      <w:pPr>
        <w:spacing w:before="160" w:after="60"/>
      </w:pPr>
      <w:r>
        <w:rPr>
          <w:rFonts w:ascii="Arial" w:cs="Arial" w:eastAsia="Arial" w:hAnsi="Arial"/>
          <w:b/>
          <w:bCs/>
          <w:color w:val="555555"/>
          <w:sz w:val="22"/>
          <w:szCs w:val="22"/>
        </w:rPr>
        <w:t xml:space="preserve">Inverted (anti-anchored):</w:t>
      </w:r>
    </w:p>
    <w:p>
      <w:pPr>
        <w:spacing w:before="140" w:after="140"/>
        <w:jc w:val="center"/>
      </w:pPr>
      <w:r>
        <w:rPr>
          <w:rFonts w:ascii="Courier New" w:cs="Courier New" w:eastAsia="Courier New" w:hAnsi="Courier New"/>
          <w:color w:val="1A2E4A"/>
          <w:sz w:val="22"/>
          <w:szCs w:val="22"/>
        </w:rPr>
        <w:t xml:space="preserve">S_t = { v ∈ V_t | deg_t(v) &lt; μ_deg - kσ_deg }</w:t>
      </w:r>
    </w:p>
    <w:p>
      <w:pPr>
        <w:spacing w:before="80" w:after="100" w:line="276"/>
        <w:jc w:val="both"/>
      </w:pPr>
      <w:r>
        <w:rPr>
          <w:rFonts w:ascii="Times New Roman" w:cs="Times New Roman" w:eastAsia="Times New Roman" w:hAnsi="Times New Roman"/>
          <w:b w:val="false"/>
          <w:bCs w:val="false"/>
          <w:i w:val="false"/>
          <w:iCs w:val="false"/>
          <w:color w:val="000000"/>
          <w:sz w:val="22"/>
          <w:szCs w:val="22"/>
        </w:rPr>
        <w:t xml:space="preserve">New edges attach to the weakest peripheral nodes, driving mass toward the boundary and fragmenting semantic clusters.</w:t>
      </w:r>
    </w:p>
    <w:p>
      <w:pPr>
        <w:pStyle w:val="Heading2"/>
        <w:spacing w:before="240" w:after="80"/>
      </w:pPr>
      <w:r>
        <w:rPr>
          <w:rFonts w:ascii="Arial" w:cs="Arial" w:eastAsia="Arial" w:hAnsi="Arial"/>
          <w:b/>
          <w:bCs/>
          <w:color w:val="1A2E4A"/>
          <w:sz w:val="23"/>
          <w:szCs w:val="23"/>
        </w:rPr>
        <w:t xml:space="preserve">3.3 Topological Growth Coefficient (TGC)</w:t>
      </w:r>
    </w:p>
    <w:p>
      <w:pPr>
        <w:spacing w:before="80" w:after="100" w:line="276"/>
        <w:jc w:val="both"/>
      </w:pPr>
      <w:r>
        <w:rPr>
          <w:rFonts w:ascii="Times New Roman" w:cs="Times New Roman" w:eastAsia="Times New Roman" w:hAnsi="Times New Roman"/>
          <w:b w:val="false"/>
          <w:bCs w:val="false"/>
          <w:i w:val="false"/>
          <w:iCs w:val="false"/>
          <w:color w:val="000000"/>
          <w:sz w:val="22"/>
          <w:szCs w:val="22"/>
        </w:rPr>
        <w:t xml:space="preserve">The TGC at cycle t is defined as:</w:t>
      </w:r>
    </w:p>
    <w:p>
      <w:pPr>
        <w:spacing w:before="140" w:after="140"/>
        <w:jc w:val="center"/>
      </w:pPr>
      <w:r>
        <w:rPr>
          <w:rFonts w:ascii="Courier New" w:cs="Courier New" w:eastAsia="Courier New" w:hAnsi="Courier New"/>
          <w:color w:val="1A2E4A"/>
          <w:sz w:val="22"/>
          <w:szCs w:val="22"/>
        </w:rPr>
        <w:t xml:space="preserve">TGC_t = (|E_Δt| / |V_t|) · (|C_t^max| / |V_t|)</w:t>
      </w:r>
    </w:p>
    <w:p>
      <w:pPr>
        <w:spacing w:before="80" w:after="100" w:line="276"/>
        <w:jc w:val="both"/>
      </w:pPr>
      <w:r>
        <w:rPr>
          <w:rFonts w:ascii="Times New Roman" w:cs="Times New Roman" w:eastAsia="Times New Roman" w:hAnsi="Times New Roman"/>
          <w:b w:val="false"/>
          <w:bCs w:val="false"/>
          <w:i w:val="false"/>
          <w:iCs w:val="false"/>
          <w:color w:val="000000"/>
          <w:sz w:val="22"/>
          <w:szCs w:val="22"/>
        </w:rPr>
        <w:t xml:space="preserve">where |</w:t>
      </w:r>
      <w:r>
        <w:rPr>
          <w:rFonts w:ascii="Times New Roman" w:cs="Times New Roman" w:eastAsia="Times New Roman" w:hAnsi="Times New Roman"/>
          <w:b w:val="false"/>
          <w:bCs w:val="false"/>
          <w:i/>
          <w:iCs/>
          <w:color w:val="000000"/>
          <w:sz w:val="22"/>
          <w:szCs w:val="22"/>
        </w:rPr>
        <w:t xml:space="preserve">E</w:t>
      </w:r>
      <w:r>
        <w:rPr>
          <w:rFonts w:ascii="Times New Roman" w:cs="Times New Roman" w:eastAsia="Times New Roman" w:hAnsi="Times New Roman"/>
          <w:b w:val="false"/>
          <w:bCs w:val="false"/>
          <w:i w:val="false"/>
          <w:iCs w:val="false"/>
          <w:color w:val="000000"/>
          <w:sz w:val="22"/>
          <w:szCs w:val="22"/>
        </w:rPr>
        <w:t xml:space="preserve">Δt| is the count of new edges, |</w:t>
      </w:r>
      <w:r>
        <w:rPr>
          <w:rFonts w:ascii="Times New Roman" w:cs="Times New Roman" w:eastAsia="Times New Roman" w:hAnsi="Times New Roman"/>
          <w:b w:val="false"/>
          <w:bCs w:val="false"/>
          <w:i/>
          <w:iCs/>
          <w:color w:val="000000"/>
          <w:sz w:val="22"/>
          <w:szCs w:val="22"/>
        </w:rPr>
        <w:t xml:space="preserve">V</w:t>
      </w:r>
      <w:r>
        <w:rPr>
          <w:rFonts w:ascii="Times New Roman" w:cs="Times New Roman" w:eastAsia="Times New Roman" w:hAnsi="Times New Roman"/>
          <w:b w:val="false"/>
          <w:bCs w:val="false"/>
          <w:i w:val="false"/>
          <w:iCs w:val="false"/>
          <w:color w:val="000000"/>
          <w:sz w:val="22"/>
          <w:szCs w:val="22"/>
        </w:rPr>
        <w:t xml:space="preserve">ₜ| is the current node count, and the second factor penalizes disconnected components (foam). TGC measures </w:t>
      </w:r>
      <w:r>
        <w:rPr>
          <w:rFonts w:ascii="Times New Roman" w:cs="Times New Roman" w:eastAsia="Times New Roman" w:hAnsi="Times New Roman"/>
          <w:b/>
          <w:bCs/>
          <w:i w:val="false"/>
          <w:iCs w:val="false"/>
          <w:color w:val="000000"/>
          <w:sz w:val="22"/>
          <w:szCs w:val="22"/>
        </w:rPr>
        <w:t xml:space="preserve">productive</w:t>
      </w:r>
      <w:r>
        <w:rPr>
          <w:rFonts w:ascii="Times New Roman" w:cs="Times New Roman" w:eastAsia="Times New Roman" w:hAnsi="Times New Roman"/>
          <w:b w:val="false"/>
          <w:bCs w:val="false"/>
          <w:i w:val="false"/>
          <w:iCs w:val="false"/>
          <w:color w:val="000000"/>
          <w:sz w:val="22"/>
          <w:szCs w:val="22"/>
        </w:rPr>
        <w:t xml:space="preserve"> topological expansion, not raw edge count. EMA smoothing: ̃TGCₜ = α·TGCₜ + (1-α)·̃TGCₜ₋₁ with α = 0.1.</w:t>
      </w:r>
    </w:p>
    <w:p>
      <w:pPr>
        <w:pStyle w:val="Heading2"/>
        <w:spacing w:before="240" w:after="80"/>
      </w:pPr>
      <w:r>
        <w:rPr>
          <w:rFonts w:ascii="Arial" w:cs="Arial" w:eastAsia="Arial" w:hAnsi="Arial"/>
          <w:b/>
          <w:bCs/>
          <w:color w:val="1A2E4A"/>
          <w:sz w:val="23"/>
          <w:szCs w:val="23"/>
        </w:rPr>
        <w:t xml:space="preserve">3.4 GPU Infrastructure</w:t>
      </w:r>
    </w:p>
    <w:p>
      <w:pPr>
        <w:spacing w:before="80" w:after="100" w:line="276"/>
        <w:jc w:val="both"/>
      </w:pPr>
      <w:r>
        <w:rPr>
          <w:rFonts w:ascii="Times New Roman" w:cs="Times New Roman" w:eastAsia="Times New Roman" w:hAnsi="Times New Roman"/>
          <w:b w:val="false"/>
          <w:bCs w:val="false"/>
          <w:i w:val="false"/>
          <w:iCs w:val="false"/>
          <w:color w:val="000000"/>
          <w:sz w:val="22"/>
          <w:szCs w:val="22"/>
        </w:rPr>
        <w:t xml:space="preserve">All experiments run on an NVIDIA L4 GPU. CUDA-accelerated batch Poincaré distance computation reduces O(N²) naive computation to parallel kernel execution at ~430–620 ms per cycle with N ~ 10⁴ nodes. 96% of wall time is spent in the GPU kernel.</w:t>
      </w:r>
    </w:p>
    <w:p>
      <w:pPr>
        <w:pStyle w:val="Heading1"/>
        <w:pBdr>
          <w:bottom w:val="single" w:color="1A2E4A" w:sz="6" w:space="3"/>
        </w:pBdr>
        <w:spacing w:before="360" w:after="120"/>
      </w:pPr>
      <w:r>
        <w:rPr>
          <w:rFonts w:ascii="Arial" w:cs="Arial" w:eastAsia="Arial" w:hAnsi="Arial"/>
          <w:b/>
          <w:bCs/>
          <w:color w:val="1A2E4A"/>
          <w:sz w:val="26"/>
          <w:szCs w:val="26"/>
        </w:rPr>
        <w:t xml:space="preserve">4. The Adaptive Penalty Trap: Formal Analysis</w:t>
      </w:r>
    </w:p>
    <w:p>
      <w:pPr>
        <w:pStyle w:val="Heading2"/>
        <w:spacing w:before="240" w:after="80"/>
      </w:pPr>
      <w:r>
        <w:rPr>
          <w:rFonts w:ascii="Arial" w:cs="Arial" w:eastAsia="Arial" w:hAnsi="Arial"/>
          <w:b/>
          <w:bCs/>
          <w:color w:val="1A2E4A"/>
          <w:sz w:val="23"/>
          <w:szCs w:val="23"/>
        </w:rPr>
        <w:t xml:space="preserve">4.1 The Three Violated Assumptions</w:t>
      </w:r>
    </w:p>
    <w:p>
      <w:pPr>
        <w:spacing w:before="80" w:after="100" w:line="276"/>
        <w:jc w:val="both"/>
      </w:pPr>
      <w:r>
        <w:rPr>
          <w:rFonts w:ascii="Times New Roman" w:cs="Times New Roman" w:eastAsia="Times New Roman" w:hAnsi="Times New Roman"/>
          <w:b w:val="false"/>
          <w:bCs w:val="false"/>
          <w:i w:val="false"/>
          <w:iCs w:val="false"/>
          <w:color w:val="000000"/>
          <w:sz w:val="22"/>
          <w:szCs w:val="22"/>
        </w:rPr>
        <w:t xml:space="preserve">Standard link prediction AUC carries three implicit assumptions, each violated by NietzscheDB:</w:t>
      </w:r>
    </w:p>
    <w:p>
      <w:pPr>
        <w:spacing w:before="60" w:after="0"/>
      </w:pPr>
      <w:r>
        <w:rPr>
          <w:rFonts w:ascii="Times New Roman" w:cs="Times New Roman" w:eastAsia="Times New Roman" w:hAnsi="Times New Roman"/>
          <w:b w:val="false"/>
          <w:bCs w:val="false"/>
          <w:i w:val="false"/>
          <w:iCs w:val="false"/>
          <w:color w:val="000000"/>
          <w:sz w:val="22"/>
          <w:szCs w:val="22"/>
        </w:rPr>
        <w:t xml:space="preserve"/>
      </w:r>
    </w:p>
    <w:p>
      <w:pPr>
        <w:spacing w:before="80" w:after="100" w:line="276"/>
        <w:jc w:val="both"/>
      </w:pPr>
      <w:r>
        <w:rPr>
          <w:rFonts w:ascii="Times New Roman" w:cs="Times New Roman" w:eastAsia="Times New Roman" w:hAnsi="Times New Roman"/>
          <w:b/>
          <w:bCs/>
          <w:i w:val="false"/>
          <w:iCs w:val="false"/>
          <w:color w:val="000000"/>
          <w:sz w:val="22"/>
          <w:szCs w:val="22"/>
        </w:rPr>
        <w:t xml:space="preserve">A1 (Closed Universe): </w:t>
      </w:r>
      <w:r>
        <w:rPr>
          <w:rFonts w:ascii="Times New Roman" w:cs="Times New Roman" w:eastAsia="Times New Roman" w:hAnsi="Times New Roman"/>
          <w:b w:val="false"/>
          <w:bCs w:val="false"/>
          <w:i w:val="false"/>
          <w:iCs w:val="false"/>
          <w:color w:val="000000"/>
          <w:sz w:val="22"/>
          <w:szCs w:val="22"/>
        </w:rPr>
        <w:t xml:space="preserve">V</w:t>
      </w:r>
      <w:r>
        <w:rPr>
          <w:rFonts w:ascii="Times New Roman" w:cs="Times New Roman" w:eastAsia="Times New Roman" w:hAnsi="Times New Roman"/>
          <w:sz w:val="22"/>
          <w:szCs w:val="22"/>
          <w:vertAlign w:val="subscript"/>
        </w:rPr>
        <w:t xml:space="preserve">eval</w:t>
      </w:r>
      <w:r>
        <w:rPr>
          <w:rFonts w:ascii="Times New Roman" w:cs="Times New Roman" w:eastAsia="Times New Roman" w:hAnsi="Times New Roman"/>
          <w:b w:val="false"/>
          <w:bCs w:val="false"/>
          <w:i w:val="false"/>
          <w:iCs w:val="false"/>
          <w:color w:val="000000"/>
          <w:sz w:val="22"/>
          <w:szCs w:val="22"/>
        </w:rPr>
        <w:t xml:space="preserve"> = V</w:t>
      </w:r>
      <w:r>
        <w:rPr>
          <w:rFonts w:ascii="Times New Roman" w:cs="Times New Roman" w:eastAsia="Times New Roman" w:hAnsi="Times New Roman"/>
          <w:sz w:val="22"/>
          <w:szCs w:val="22"/>
          <w:vertAlign w:val="subscript"/>
        </w:rPr>
        <w:t xml:space="preserve">train</w:t>
      </w:r>
      <w:r>
        <w:rPr>
          <w:rFonts w:ascii="Times New Roman" w:cs="Times New Roman" w:eastAsia="Times New Roman" w:hAnsi="Times New Roman"/>
          <w:b w:val="false"/>
          <w:bCs w:val="false"/>
          <w:i w:val="false"/>
          <w:iCs w:val="false"/>
          <w:color w:val="000000"/>
          <w:sz w:val="22"/>
          <w:szCs w:val="22"/>
        </w:rPr>
        <w:t xml:space="preserve">. Violated: Zaratustra adds new nodes each cycle.</w:t>
      </w:r>
    </w:p>
    <w:p>
      <w:pPr>
        <w:spacing w:before="40" w:after="0"/>
      </w:pPr>
      <w:r>
        <w:rPr>
          <w:rFonts w:ascii="Times New Roman" w:cs="Times New Roman" w:eastAsia="Times New Roman" w:hAnsi="Times New Roman"/>
          <w:b w:val="false"/>
          <w:bCs w:val="false"/>
          <w:i w:val="false"/>
          <w:iCs w:val="false"/>
          <w:color w:val="000000"/>
          <w:sz w:val="22"/>
          <w:szCs w:val="22"/>
        </w:rPr>
        <w:t xml:space="preserve"/>
      </w:r>
    </w:p>
    <w:p>
      <w:pPr>
        <w:spacing w:before="80" w:after="100" w:line="276"/>
        <w:jc w:val="both"/>
      </w:pPr>
      <w:r>
        <w:rPr>
          <w:rFonts w:ascii="Times New Roman" w:cs="Times New Roman" w:eastAsia="Times New Roman" w:hAnsi="Times New Roman"/>
          <w:b/>
          <w:bCs/>
          <w:i w:val="false"/>
          <w:iCs w:val="false"/>
          <w:color w:val="000000"/>
          <w:sz w:val="22"/>
          <w:szCs w:val="22"/>
        </w:rPr>
        <w:t xml:space="preserve">A2 (Static Topology): </w:t>
      </w:r>
      <w:r>
        <w:rPr>
          <w:rFonts w:ascii="Times New Roman" w:cs="Times New Roman" w:eastAsia="Times New Roman" w:hAnsi="Times New Roman"/>
          <w:b w:val="false"/>
          <w:bCs w:val="false"/>
          <w:i w:val="false"/>
          <w:iCs w:val="false"/>
          <w:color w:val="000000"/>
          <w:sz w:val="22"/>
          <w:szCs w:val="22"/>
        </w:rPr>
        <w:t xml:space="preserve">A</w:t>
      </w:r>
      <w:r>
        <w:rPr>
          <w:rFonts w:ascii="Times New Roman" w:cs="Times New Roman" w:eastAsia="Times New Roman" w:hAnsi="Times New Roman"/>
          <w:sz w:val="22"/>
          <w:szCs w:val="22"/>
          <w:vertAlign w:val="subscript"/>
        </w:rPr>
        <w:t xml:space="preserve">eval</w:t>
      </w:r>
      <w:r>
        <w:rPr>
          <w:rFonts w:ascii="Times New Roman" w:cs="Times New Roman" w:eastAsia="Times New Roman" w:hAnsi="Times New Roman"/>
          <w:b w:val="false"/>
          <w:bCs w:val="false"/>
          <w:i w:val="false"/>
          <w:iCs w:val="false"/>
          <w:color w:val="000000"/>
          <w:sz w:val="22"/>
          <w:szCs w:val="22"/>
        </w:rPr>
        <w:t xml:space="preserve"> = A</w:t>
      </w:r>
      <w:r>
        <w:rPr>
          <w:rFonts w:ascii="Times New Roman" w:cs="Times New Roman" w:eastAsia="Times New Roman" w:hAnsi="Times New Roman"/>
          <w:sz w:val="22"/>
          <w:szCs w:val="22"/>
          <w:vertAlign w:val="subscript"/>
        </w:rPr>
        <w:t xml:space="preserve">train</w:t>
      </w:r>
      <w:r>
        <w:rPr>
          <w:rFonts w:ascii="Times New Roman" w:cs="Times New Roman" w:eastAsia="Times New Roman" w:hAnsi="Times New Roman"/>
          <w:b w:val="false"/>
          <w:bCs w:val="false"/>
          <w:i w:val="false"/>
          <w:iCs w:val="false"/>
          <w:color w:val="000000"/>
          <w:sz w:val="22"/>
          <w:szCs w:val="22"/>
        </w:rPr>
        <w:t xml:space="preserve">. Violated: Aₜ evolves continuously. In Normal mode, elite anchoring redistributes spectral mass, shifting all embeddings via GNN propagation.</w:t>
      </w:r>
    </w:p>
    <w:p>
      <w:pPr>
        <w:spacing w:before="40" w:after="0"/>
      </w:pPr>
      <w:r>
        <w:rPr>
          <w:rFonts w:ascii="Times New Roman" w:cs="Times New Roman" w:eastAsia="Times New Roman" w:hAnsi="Times New Roman"/>
          <w:b w:val="false"/>
          <w:bCs w:val="false"/>
          <w:i w:val="false"/>
          <w:iCs w:val="false"/>
          <w:color w:val="000000"/>
          <w:sz w:val="22"/>
          <w:szCs w:val="22"/>
        </w:rPr>
        <w:t xml:space="preserve"/>
      </w:r>
    </w:p>
    <w:p>
      <w:pPr>
        <w:spacing w:before="80" w:after="100" w:line="276"/>
        <w:jc w:val="both"/>
      </w:pPr>
      <w:r>
        <w:rPr>
          <w:rFonts w:ascii="Times New Roman" w:cs="Times New Roman" w:eastAsia="Times New Roman" w:hAnsi="Times New Roman"/>
          <w:b/>
          <w:bCs/>
          <w:i w:val="false"/>
          <w:iCs w:val="false"/>
          <w:color w:val="000000"/>
          <w:sz w:val="22"/>
          <w:szCs w:val="22"/>
        </w:rPr>
        <w:t xml:space="preserve">A3 (Uniform Negatives):</w:t>
      </w:r>
      <w:r>
        <w:rPr>
          <w:rFonts w:ascii="Times New Roman" w:cs="Times New Roman" w:eastAsia="Times New Roman" w:hAnsi="Times New Roman"/>
          <w:b w:val="false"/>
          <w:bCs w:val="false"/>
          <w:i w:val="false"/>
          <w:iCs w:val="false"/>
          <w:color w:val="000000"/>
          <w:sz w:val="22"/>
          <w:szCs w:val="22"/>
        </w:rPr>
        <w:t xml:space="preserve"> Negative pairs drawn uniformly from V × V \ E. Violated: foam nodes at ‖v‖ → 1 satisfy d</w:t>
      </w:r>
      <w:r>
        <w:rPr>
          <w:rFonts w:ascii="Times New Roman" w:cs="Times New Roman" w:eastAsia="Times New Roman" w:hAnsi="Times New Roman"/>
          <w:sz w:val="22"/>
          <w:szCs w:val="22"/>
          <w:vertAlign w:val="subscript"/>
        </w:rPr>
        <w:t xml:space="preserve">H</w:t>
      </w:r>
      <w:r>
        <w:rPr>
          <w:rFonts w:ascii="Times New Roman" w:cs="Times New Roman" w:eastAsia="Times New Roman" w:hAnsi="Times New Roman"/>
          <w:b w:val="false"/>
          <w:bCs w:val="false"/>
          <w:i w:val="false"/>
          <w:iCs w:val="false"/>
          <w:color w:val="000000"/>
          <w:sz w:val="22"/>
          <w:szCs w:val="22"/>
        </w:rPr>
        <w:t xml:space="preserve">(v, u) → ∞ for all u ∈ V</w:t>
      </w:r>
      <w:r>
        <w:rPr>
          <w:rFonts w:ascii="Times New Roman" w:cs="Times New Roman" w:eastAsia="Times New Roman" w:hAnsi="Times New Roman"/>
          <w:sz w:val="22"/>
          <w:szCs w:val="22"/>
          <w:vertAlign w:val="subscript"/>
        </w:rPr>
        <w:t xml:space="preserve">Cora</w:t>
      </w:r>
      <w:r>
        <w:rPr>
          <w:rFonts w:ascii="Times New Roman" w:cs="Times New Roman" w:eastAsia="Times New Roman" w:hAnsi="Times New Roman"/>
          <w:b w:val="false"/>
          <w:bCs w:val="false"/>
          <w:i w:val="false"/>
          <w:iCs w:val="false"/>
          <w:color w:val="000000"/>
          <w:sz w:val="22"/>
          <w:szCs w:val="22"/>
        </w:rPr>
        <w:t xml:space="preserve">, yielding trivial non-edge classification.</w:t>
      </w:r>
    </w:p>
    <w:p>
      <w:pPr>
        <w:pStyle w:val="Heading2"/>
        <w:spacing w:before="240" w:after="80"/>
      </w:pPr>
      <w:r>
        <w:rPr>
          <w:rFonts w:ascii="Arial" w:cs="Arial" w:eastAsia="Arial" w:hAnsi="Arial"/>
          <w:b/>
          <w:bCs/>
          <w:color w:val="1A2E4A"/>
          <w:sz w:val="23"/>
          <w:szCs w:val="23"/>
        </w:rPr>
        <w:t xml:space="preserve">4.2 The Foam Inflation Effect</w:t>
      </w:r>
    </w:p>
    <w:p>
      <w:pPr>
        <w:spacing w:before="80" w:after="100" w:line="276"/>
        <w:jc w:val="both"/>
      </w:pPr>
      <w:r>
        <w:rPr>
          <w:rFonts w:ascii="Times New Roman" w:cs="Times New Roman" w:eastAsia="Times New Roman" w:hAnsi="Times New Roman"/>
          <w:b w:val="false"/>
          <w:bCs w:val="false"/>
          <w:i w:val="false"/>
          <w:iCs w:val="false"/>
          <w:color w:val="000000"/>
          <w:sz w:val="22"/>
          <w:szCs w:val="22"/>
        </w:rPr>
        <w:t xml:space="preserve">For a foam node f with ‖f‖ = 1 - ε and any Cora node c with ‖c‖ ≤ r_max &lt; 1:</w:t>
      </w:r>
    </w:p>
    <w:p>
      <w:pPr>
        <w:spacing w:before="140" w:after="140"/>
        <w:jc w:val="center"/>
      </w:pPr>
      <w:r>
        <w:rPr>
          <w:rFonts w:ascii="Courier New" w:cs="Courier New" w:eastAsia="Courier New" w:hAnsi="Courier New"/>
          <w:color w:val="1A2E4A"/>
          <w:sz w:val="22"/>
          <w:szCs w:val="22"/>
        </w:rPr>
        <w:t xml:space="preserve">d_H(f,c) ≈ arccosh( ‖f-c‖² / (ε(1-r_max²)) )  →  ∞  as ε → 0</w:t>
      </w:r>
    </w:p>
    <w:p>
      <w:pPr>
        <w:spacing w:before="80" w:after="100" w:line="276"/>
        <w:jc w:val="both"/>
      </w:pPr>
      <w:r>
        <w:rPr>
          <w:rFonts w:ascii="Times New Roman" w:cs="Times New Roman" w:eastAsia="Times New Roman" w:hAnsi="Times New Roman"/>
          <w:b w:val="false"/>
          <w:bCs w:val="false"/>
          <w:i w:val="false"/>
          <w:iCs w:val="false"/>
          <w:color w:val="000000"/>
          <w:sz w:val="22"/>
          <w:szCs w:val="22"/>
        </w:rPr>
        <w:t xml:space="preserve">Hence s(f,c) = σ(-dₜ/τ) → 0. Any negative sample including f scores trivially near zero. AUC inflates monotonically with the proportion of foam in the negative pool.</w:t>
      </w:r>
    </w:p>
    <w:p>
      <w:pPr>
        <w:pStyle w:val="Heading2"/>
        <w:spacing w:before="240" w:after="80"/>
      </w:pPr>
      <w:r>
        <w:rPr>
          <w:rFonts w:ascii="Arial" w:cs="Arial" w:eastAsia="Arial" w:hAnsi="Arial"/>
          <w:b/>
          <w:bCs/>
          <w:color w:val="1A2E4A"/>
          <w:sz w:val="23"/>
          <w:szCs w:val="23"/>
        </w:rPr>
        <w:t xml:space="preserve">4.3 The Learning Penalty</w:t>
      </w:r>
    </w:p>
    <w:p>
      <w:pPr>
        <w:spacing w:before="80" w:after="100" w:line="276"/>
        <w:jc w:val="both"/>
      </w:pPr>
      <w:r>
        <w:rPr>
          <w:rFonts w:ascii="Times New Roman" w:cs="Times New Roman" w:eastAsia="Times New Roman" w:hAnsi="Times New Roman"/>
          <w:b w:val="false"/>
          <w:bCs w:val="false"/>
          <w:i w:val="false"/>
          <w:iCs w:val="false"/>
          <w:color w:val="000000"/>
          <w:sz w:val="22"/>
          <w:szCs w:val="22"/>
        </w:rPr>
        <w:t xml:space="preserve">In Normal mode, GNN propagation at layer l:</w:t>
      </w:r>
    </w:p>
    <w:p>
      <w:pPr>
        <w:spacing w:before="140" w:after="140"/>
        <w:jc w:val="center"/>
      </w:pPr>
      <w:r>
        <w:rPr>
          <w:rFonts w:ascii="Courier New" w:cs="Courier New" w:eastAsia="Courier New" w:hAnsi="Courier New"/>
          <w:color w:val="1A2E4A"/>
          <w:sz w:val="22"/>
          <w:szCs w:val="22"/>
        </w:rPr>
        <w:t xml:space="preserve">H^(l+1) = σ( Â_t H^(l) W^(l) ),   Â_t = D̃_t^(-1/2) Ã_t D̃_t^(-1/2)</w:t>
      </w:r>
    </w:p>
    <w:p>
      <w:pPr>
        <w:spacing w:before="80" w:after="100" w:line="276"/>
        <w:jc w:val="both"/>
      </w:pPr>
      <w:r>
        <w:rPr>
          <w:rFonts w:ascii="Times New Roman" w:cs="Times New Roman" w:eastAsia="Times New Roman" w:hAnsi="Times New Roman"/>
          <w:b w:val="false"/>
          <w:bCs w:val="false"/>
          <w:i w:val="false"/>
          <w:iCs w:val="false"/>
          <w:color w:val="000000"/>
          <w:sz w:val="22"/>
          <w:szCs w:val="22"/>
        </w:rPr>
        <w:t xml:space="preserve">Elite-anchored edges modify the spectral decomposition Âₜ = UΛUᵀ. The resulting embedding drift δH = Hₜ - Hₜ₋₁ encodes newly acquired relational knowledge. However, Eₜеѕₜ was constructed against H₀. Evaluating against Eₜеѕₜ measures </w:t>
      </w:r>
      <w:r>
        <w:rPr>
          <w:rFonts w:ascii="Times New Roman" w:cs="Times New Roman" w:eastAsia="Times New Roman" w:hAnsi="Times New Roman"/>
          <w:b w:val="false"/>
          <w:bCs w:val="false"/>
          <w:i/>
          <w:iCs/>
          <w:color w:val="000000"/>
          <w:sz w:val="22"/>
          <w:szCs w:val="22"/>
        </w:rPr>
        <w:t xml:space="preserve">preservation of the initial configuration</w:t>
      </w:r>
      <w:r>
        <w:rPr>
          <w:rFonts w:ascii="Times New Roman" w:cs="Times New Roman" w:eastAsia="Times New Roman" w:hAnsi="Times New Roman"/>
          <w:b w:val="false"/>
          <w:bCs w:val="false"/>
          <w:i w:val="false"/>
          <w:iCs w:val="false"/>
          <w:color w:val="000000"/>
          <w:sz w:val="22"/>
          <w:szCs w:val="22"/>
        </w:rPr>
        <w:t xml:space="preserve"> — precisely what Normal mode transcends. The penalty is:</w:t>
      </w:r>
    </w:p>
    <w:p>
      <w:pPr>
        <w:spacing w:before="140" w:after="140"/>
        <w:jc w:val="center"/>
      </w:pPr>
      <w:r>
        <w:rPr>
          <w:rFonts w:ascii="Courier New" w:cs="Courier New" w:eastAsia="Courier New" w:hAnsi="Courier New"/>
          <w:color w:val="1A2E4A"/>
          <w:sz w:val="22"/>
          <w:szCs w:val="22"/>
        </w:rPr>
        <w:t xml:space="preserve">∂AUC_static / ∂‖δH‖ &lt; 0   (Normal mode)</w:t>
      </w:r>
    </w:p>
    <w:p>
      <w:pPr>
        <w:spacing w:before="60" w:after="0"/>
      </w:pPr>
      <w:r>
        <w:rPr>
          <w:rFonts w:ascii="Times New Roman" w:cs="Times New Roman" w:eastAsia="Times New Roman" w:hAnsi="Times New Roman"/>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A017" w:sz="8"/>
              <w:left w:val="thick" w:color="D4A017" w:sz="28"/>
              <w:bottom w:val="single" w:color="CCCCCC" w:sz="2"/>
              <w:right w:val="none" w:color="FFFFFF" w:sz="0"/>
            </w:tcBorders>
            <w:shd w:fill="FFF8E7" w:val="clear"/>
            <w:tcMar>
              <w:top w:type="dxa" w:w="120"/>
              <w:left w:type="dxa" w:w="200"/>
              <w:bottom w:type="dxa" w:w="120"/>
              <w:right w:type="dxa" w:w="180"/>
            </w:tcMar>
          </w:tcPr>
          <w:p>
            <w:pPr>
              <w:spacing w:before="0" w:after="0" w:line="280"/>
              <w:jc w:val="both"/>
            </w:pPr>
            <w:r>
              <w:rPr>
                <w:rFonts w:ascii="Times New Roman" w:cs="Times New Roman" w:eastAsia="Times New Roman" w:hAnsi="Times New Roman"/>
                <w:i/>
                <w:iCs/>
                <w:color w:val="222222"/>
                <w:sz w:val="22"/>
                <w:szCs w:val="22"/>
              </w:rPr>
              <w:t xml:space="preserve">This is the Adaptive Penalty Trap in mathematical form: the metric’s gradient with respect to learning is negative. The system is penalized proportionally to how much it has learned.</w:t>
            </w:r>
          </w:p>
        </w:tc>
      </w:tr>
    </w:tbl>
    <w:p>
      <w:pPr>
        <w:pStyle w:val="Heading1"/>
        <w:pBdr>
          <w:bottom w:val="single" w:color="1A2E4A" w:sz="6" w:space="3"/>
        </w:pBdr>
        <w:spacing w:before="360" w:after="120"/>
      </w:pPr>
      <w:r>
        <w:rPr>
          <w:rFonts w:ascii="Arial" w:cs="Arial" w:eastAsia="Arial" w:hAnsi="Arial"/>
          <w:b/>
          <w:bCs/>
          <w:color w:val="1A2E4A"/>
          <w:sz w:val="26"/>
          <w:szCs w:val="26"/>
        </w:rPr>
        <w:t xml:space="preserve">5. Empirical Results: The Universal Law</w:t>
      </w:r>
    </w:p>
    <w:p>
      <w:pPr>
        <w:pStyle w:val="Heading2"/>
        <w:spacing w:before="240" w:after="80"/>
      </w:pPr>
      <w:r>
        <w:rPr>
          <w:rFonts w:ascii="Arial" w:cs="Arial" w:eastAsia="Arial" w:hAnsi="Arial"/>
          <w:b/>
          <w:bCs/>
          <w:color w:val="1A2E4A"/>
          <w:sz w:val="23"/>
          <w:szCs w:val="23"/>
        </w:rPr>
        <w:t xml:space="preserve">5.1 Experimental Setup</w:t>
      </w:r>
    </w:p>
    <w:p>
      <w:pPr>
        <w:pStyle w:val="ListParagraph"/>
        <w:numPr>
          <w:ilvl w:val="0"/>
          <w:numId w:val="3"/>
        </w:numPr>
        <w:spacing w:before="60" w:after="60" w:line="270"/>
      </w:pPr>
      <w:r>
        <w:rPr>
          <w:rFonts w:ascii="Times New Roman" w:cs="Times New Roman" w:eastAsia="Times New Roman" w:hAnsi="Times New Roman"/>
          <w:b/>
          <w:bCs/>
          <w:i w:val="false"/>
          <w:iCs w:val="false"/>
          <w:color w:val="000000"/>
          <w:sz w:val="22"/>
          <w:szCs w:val="22"/>
        </w:rPr>
        <w:t xml:space="preserve">Dataset: </w:t>
      </w:r>
      <w:r>
        <w:rPr>
          <w:rFonts w:ascii="Times New Roman" w:cs="Times New Roman" w:eastAsia="Times New Roman" w:hAnsi="Times New Roman"/>
          <w:b w:val="false"/>
          <w:bCs w:val="false"/>
          <w:i w:val="false"/>
          <w:iCs w:val="false"/>
          <w:color w:val="000000"/>
          <w:sz w:val="22"/>
          <w:szCs w:val="22"/>
        </w:rPr>
        <w:t xml:space="preserve">Cora citation network (2,708 nodes, 5,429 edges, 7 classes)</w:t>
      </w:r>
    </w:p>
    <w:p>
      <w:pPr>
        <w:pStyle w:val="ListParagraph"/>
        <w:numPr>
          <w:ilvl w:val="0"/>
          <w:numId w:val="3"/>
        </w:numPr>
        <w:spacing w:before="60" w:after="60" w:line="270"/>
      </w:pPr>
      <w:r>
        <w:rPr>
          <w:rFonts w:ascii="Times New Roman" w:cs="Times New Roman" w:eastAsia="Times New Roman" w:hAnsi="Times New Roman"/>
          <w:b/>
          <w:bCs/>
          <w:i w:val="false"/>
          <w:iCs w:val="false"/>
          <w:color w:val="000000"/>
          <w:sz w:val="22"/>
          <w:szCs w:val="22"/>
        </w:rPr>
        <w:t xml:space="preserve">Conditions: </w:t>
      </w:r>
      <w:r>
        <w:rPr>
          <w:rFonts w:ascii="Times New Roman" w:cs="Times New Roman" w:eastAsia="Times New Roman" w:hAnsi="Times New Roman"/>
          <w:b w:val="false"/>
          <w:bCs w:val="false"/>
          <w:i w:val="false"/>
          <w:iCs w:val="false"/>
          <w:color w:val="000000"/>
          <w:sz w:val="22"/>
          <w:szCs w:val="22"/>
        </w:rPr>
        <w:t xml:space="preserve">Normal, Off, Inverted — 100 cycles each, 3 independent runs</w:t>
      </w:r>
    </w:p>
    <w:p>
      <w:pPr>
        <w:pStyle w:val="ListParagraph"/>
        <w:numPr>
          <w:ilvl w:val="0"/>
          <w:numId w:val="3"/>
        </w:numPr>
        <w:spacing w:before="60" w:after="60" w:line="270"/>
      </w:pPr>
      <w:r>
        <w:rPr>
          <w:rFonts w:ascii="Times New Roman" w:cs="Times New Roman" w:eastAsia="Times New Roman" w:hAnsi="Times New Roman"/>
          <w:b/>
          <w:bCs/>
          <w:i w:val="false"/>
          <w:iCs w:val="false"/>
          <w:color w:val="000000"/>
          <w:sz w:val="22"/>
          <w:szCs w:val="22"/>
        </w:rPr>
        <w:t xml:space="preserve">Baseline: </w:t>
      </w:r>
      <w:r>
        <w:rPr>
          <w:rFonts w:ascii="Times New Roman" w:cs="Times New Roman" w:eastAsia="Times New Roman" w:hAnsi="Times New Roman"/>
          <w:b w:val="false"/>
          <w:bCs w:val="false"/>
          <w:i w:val="false"/>
          <w:iCs w:val="false"/>
          <w:color w:val="000000"/>
          <w:sz w:val="22"/>
          <w:szCs w:val="22"/>
        </w:rPr>
        <w:t xml:space="preserve">static link prediction AUC, standard negative sampling</w:t>
      </w:r>
    </w:p>
    <w:p>
      <w:pPr>
        <w:pStyle w:val="ListParagraph"/>
        <w:numPr>
          <w:ilvl w:val="0"/>
          <w:numId w:val="3"/>
        </w:numPr>
        <w:spacing w:before="60" w:after="60" w:line="270"/>
      </w:pPr>
      <w:r>
        <w:rPr>
          <w:rFonts w:ascii="Times New Roman" w:cs="Times New Roman" w:eastAsia="Times New Roman" w:hAnsi="Times New Roman"/>
          <w:b/>
          <w:bCs/>
          <w:i w:val="false"/>
          <w:iCs w:val="false"/>
          <w:color w:val="000000"/>
          <w:sz w:val="22"/>
          <w:szCs w:val="22"/>
        </w:rPr>
        <w:t xml:space="preserve">Hardware: </w:t>
      </w:r>
      <w:r>
        <w:rPr>
          <w:rFonts w:ascii="Times New Roman" w:cs="Times New Roman" w:eastAsia="Times New Roman" w:hAnsi="Times New Roman"/>
          <w:b w:val="false"/>
          <w:bCs w:val="false"/>
          <w:i w:val="false"/>
          <w:iCs w:val="false"/>
          <w:color w:val="000000"/>
          <w:sz w:val="22"/>
          <w:szCs w:val="22"/>
        </w:rPr>
        <w:t xml:space="preserve">NVIDIA L4 GPU, CUDA batch Poincaré distance (~430–620 ms/cycle)</w:t>
      </w:r>
    </w:p>
    <w:p>
      <w:pPr>
        <w:pStyle w:val="Heading2"/>
        <w:spacing w:before="240" w:after="80"/>
      </w:pPr>
      <w:r>
        <w:rPr>
          <w:rFonts w:ascii="Arial" w:cs="Arial" w:eastAsia="Arial" w:hAnsi="Arial"/>
          <w:b/>
          <w:bCs/>
          <w:color w:val="1A2E4A"/>
          <w:sz w:val="23"/>
          <w:szCs w:val="23"/>
        </w:rPr>
        <w:t xml:space="preserve">5.2 The Central Finding</w:t>
      </w:r>
    </w:p>
    <w:p>
      <w:pPr>
        <w:spacing w:before="80" w:after="0"/>
      </w:pPr>
      <w:r>
        <w:rPr>
          <w:rFonts w:ascii="Times New Roman" w:cs="Times New Roman" w:eastAsia="Times New Roman" w:hAnsi="Times New Roman"/>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580"/>
        <w:gridCol w:w="1680"/>
        <w:gridCol w:w="1900"/>
      </w:tblGrid>
      <w:tr>
        <w:trPr>
          <w:tblHeader/>
        </w:trPr>
        <w:tc>
          <w:tcPr>
            <w:tcBorders>
              <w:top w:val="single" w:color="CCCCCC" w:sz="1"/>
              <w:left w:val="single" w:color="CCCCCC" w:sz="1"/>
              <w:bottom w:val="single" w:color="CCCCCC" w:sz="1"/>
              <w:right w:val="single" w:color="CCCCCC" w:sz="1"/>
            </w:tcBorders>
            <w:shd w:fill="1A2E4A"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Condition</w:t>
            </w:r>
          </w:p>
        </w:tc>
        <w:tc>
          <w:tcPr>
            <w:tcBorders>
              <w:top w:val="single" w:color="CCCCCC" w:sz="1"/>
              <w:left w:val="single" w:color="CCCCCC" w:sz="1"/>
              <w:bottom w:val="single" w:color="CCCCCC" w:sz="1"/>
              <w:right w:val="single" w:color="CCCCCC" w:sz="1"/>
            </w:tcBorders>
            <w:shd w:fill="1A2E4A"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Final AUC</w:t>
            </w:r>
          </w:p>
        </w:tc>
        <w:tc>
          <w:tcPr>
            <w:tcBorders>
              <w:top w:val="single" w:color="CCCCCC" w:sz="1"/>
              <w:left w:val="single" w:color="CCCCCC" w:sz="1"/>
              <w:bottom w:val="single" w:color="CCCCCC" w:sz="1"/>
              <w:right w:val="single" w:color="CCCCCC" w:sz="1"/>
            </w:tcBorders>
            <w:shd w:fill="1A2E4A"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Mean AUC</w:t>
            </w:r>
          </w:p>
        </w:tc>
        <w:tc>
          <w:tcPr>
            <w:tcBorders>
              <w:top w:val="single" w:color="CCCCCC" w:sz="1"/>
              <w:left w:val="single" w:color="CCCCCC" w:sz="1"/>
              <w:bottom w:val="single" w:color="CCCCCC" w:sz="1"/>
              <w:right w:val="single" w:color="CCCCCC" w:sz="1"/>
            </w:tcBorders>
            <w:shd w:fill="1A2E4A"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r(TGC, AUC)</w:t>
            </w:r>
          </w:p>
        </w:tc>
        <w:tc>
          <w:tcPr>
            <w:tcBorders>
              <w:top w:val="single" w:color="CCCCCC" w:sz="1"/>
              <w:left w:val="single" w:color="CCCCCC" w:sz="1"/>
              <w:bottom w:val="single" w:color="CCCCCC" w:sz="1"/>
              <w:right w:val="single" w:color="CCCCCC" w:sz="1"/>
            </w:tcBorders>
            <w:shd w:fill="1A2E4A"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p-value</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Times New Roman" w:cs="Times New Roman" w:eastAsia="Times New Roman" w:hAnsi="Times New Roman"/>
                <w:color w:val="2E7D32"/>
                <w:sz w:val="20"/>
                <w:szCs w:val="20"/>
              </w:rPr>
              <w:t xml:space="preserve">Normal (elite-anchored)</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Times New Roman" w:cs="Times New Roman" w:eastAsia="Times New Roman" w:hAnsi="Times New Roman"/>
                <w:color w:val="000000"/>
                <w:sz w:val="20"/>
                <w:szCs w:val="20"/>
              </w:rPr>
              <w:t xml:space="preserve">0.8193</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Times New Roman" w:cs="Times New Roman" w:eastAsia="Times New Roman" w:hAnsi="Times New Roman"/>
                <w:color w:val="000000"/>
                <w:sz w:val="20"/>
                <w:szCs w:val="20"/>
              </w:rPr>
              <w:t xml:space="preserve">0.8398</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Times New Roman" w:cs="Times New Roman" w:eastAsia="Times New Roman" w:hAnsi="Times New Roman"/>
                <w:color w:val="000000"/>
                <w:sz w:val="20"/>
                <w:szCs w:val="20"/>
              </w:rPr>
              <w:t xml:space="preserve">0.84</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Times New Roman" w:cs="Times New Roman" w:eastAsia="Times New Roman" w:hAnsi="Times New Roman"/>
                <w:color w:val="000000"/>
                <w:sz w:val="20"/>
                <w:szCs w:val="20"/>
              </w:rPr>
              <w:t xml:space="preserve">&lt; 10⁻²⁷</w:t>
            </w:r>
          </w:p>
        </w:tc>
      </w:tr>
      <w:tr>
        <w:tc>
          <w:tcPr>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Times New Roman" w:cs="Times New Roman" w:eastAsia="Times New Roman" w:hAnsi="Times New Roman"/>
                <w:color w:val="E65100"/>
                <w:sz w:val="20"/>
                <w:szCs w:val="20"/>
              </w:rPr>
              <w:t xml:space="preserve">Off (foam-orphan)</w:t>
            </w:r>
          </w:p>
        </w:tc>
        <w:tc>
          <w:tcPr>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Times New Roman" w:cs="Times New Roman" w:eastAsia="Times New Roman" w:hAnsi="Times New Roman"/>
                <w:color w:val="000000"/>
                <w:sz w:val="20"/>
                <w:szCs w:val="20"/>
              </w:rPr>
              <w:t xml:space="preserve">0.8971</w:t>
            </w:r>
          </w:p>
        </w:tc>
        <w:tc>
          <w:tcPr>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Times New Roman" w:cs="Times New Roman" w:eastAsia="Times New Roman" w:hAnsi="Times New Roman"/>
                <w:color w:val="000000"/>
                <w:sz w:val="20"/>
                <w:szCs w:val="20"/>
              </w:rPr>
              <w:t xml:space="preserve">0.8686</w:t>
            </w:r>
          </w:p>
        </w:tc>
        <w:tc>
          <w:tcPr>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Times New Roman" w:cs="Times New Roman" w:eastAsia="Times New Roman" w:hAnsi="Times New Roman"/>
                <w:color w:val="000000"/>
                <w:sz w:val="20"/>
                <w:szCs w:val="20"/>
              </w:rPr>
              <w:t xml:space="preserve">0.88</w:t>
            </w:r>
          </w:p>
        </w:tc>
        <w:tc>
          <w:tcPr>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Times New Roman" w:cs="Times New Roman" w:eastAsia="Times New Roman" w:hAnsi="Times New Roman"/>
                <w:color w:val="000000"/>
                <w:sz w:val="20"/>
                <w:szCs w:val="20"/>
              </w:rPr>
              <w:t xml:space="preserve">&lt; 10⁻²⁷</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Times New Roman" w:cs="Times New Roman" w:eastAsia="Times New Roman" w:hAnsi="Times New Roman"/>
                <w:color w:val="C62828"/>
                <w:sz w:val="20"/>
                <w:szCs w:val="20"/>
              </w:rPr>
              <w:t xml:space="preserve">Inverted (anti-anchored)</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Times New Roman" w:cs="Times New Roman" w:eastAsia="Times New Roman" w:hAnsi="Times New Roman"/>
                <w:color w:val="000000"/>
                <w:sz w:val="20"/>
                <w:szCs w:val="20"/>
              </w:rPr>
              <w:t xml:space="preserve">0.9023</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Times New Roman" w:cs="Times New Roman" w:eastAsia="Times New Roman" w:hAnsi="Times New Roman"/>
                <w:color w:val="000000"/>
                <w:sz w:val="20"/>
                <w:szCs w:val="20"/>
              </w:rPr>
              <w:t xml:space="preserve">0.8598</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Times New Roman" w:cs="Times New Roman" w:eastAsia="Times New Roman" w:hAnsi="Times New Roman"/>
                <w:color w:val="000000"/>
                <w:sz w:val="20"/>
                <w:szCs w:val="20"/>
              </w:rPr>
              <w:t xml:space="preserve">0.90</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Times New Roman" w:cs="Times New Roman" w:eastAsia="Times New Roman" w:hAnsi="Times New Roman"/>
                <w:color w:val="000000"/>
                <w:sz w:val="20"/>
                <w:szCs w:val="20"/>
              </w:rPr>
              <w:t xml:space="preserve">&lt; 10⁻²⁷</w:t>
            </w:r>
          </w:p>
        </w:tc>
      </w:tr>
      <w:tr>
        <w:tc>
          <w:tcPr>
            <w:tcBorders>
              <w:top w:val="double" w:color="1A2E4A" w:sz="6"/>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b/>
                <w:bCs/>
                <w:color w:val="1A2E4A"/>
                <w:sz w:val="20"/>
                <w:szCs w:val="20"/>
              </w:rPr>
              <w:t xml:space="preserve">Pooled</w:t>
            </w:r>
          </w:p>
        </w:tc>
        <w:tc>
          <w:tcPr>
            <w:tcBorders>
              <w:top w:val="double" w:color="1A2E4A" w:sz="6"/>
              <w:left w:val="single" w:color="CCCCCC" w:sz="1"/>
              <w:bottom w:val="single" w:color="CCCCCC" w:sz="1"/>
              <w:right w:val="single" w:color="CCCCCC" w:sz="1"/>
            </w:tcBorders>
            <w:shd w:fill="F0F4FA" w:val="clear"/>
            <w:tcMar>
              <w:top w:type="dxa" w:w="80"/>
              <w:left w:type="dxa" w:w="140"/>
              <w:bottom w:type="dxa" w:w="80"/>
              <w:right w:type="dxa" w:w="140"/>
            </w:tcMar>
          </w:tcPr>
          <w:p>
            <w:pPr>
              <w:jc w:val="center"/>
            </w:pPr>
            <w:r>
              <w:rPr>
                <w:rFonts w:ascii="Times New Roman" w:cs="Times New Roman" w:eastAsia="Times New Roman" w:hAnsi="Times New Roman"/>
                <w:b/>
                <w:bCs/>
                <w:color w:val="1A2E4A"/>
                <w:sz w:val="20"/>
                <w:szCs w:val="20"/>
              </w:rPr>
              <w:t xml:space="preserve">—</w:t>
            </w:r>
          </w:p>
        </w:tc>
        <w:tc>
          <w:tcPr>
            <w:tcBorders>
              <w:top w:val="double" w:color="1A2E4A" w:sz="6"/>
              <w:left w:val="single" w:color="CCCCCC" w:sz="1"/>
              <w:bottom w:val="single" w:color="CCCCCC" w:sz="1"/>
              <w:right w:val="single" w:color="CCCCCC" w:sz="1"/>
            </w:tcBorders>
            <w:shd w:fill="F0F4FA" w:val="clear"/>
            <w:tcMar>
              <w:top w:type="dxa" w:w="80"/>
              <w:left w:type="dxa" w:w="140"/>
              <w:bottom w:type="dxa" w:w="80"/>
              <w:right w:type="dxa" w:w="140"/>
            </w:tcMar>
          </w:tcPr>
          <w:p>
            <w:pPr>
              <w:jc w:val="center"/>
            </w:pPr>
            <w:r>
              <w:rPr>
                <w:rFonts w:ascii="Times New Roman" w:cs="Times New Roman" w:eastAsia="Times New Roman" w:hAnsi="Times New Roman"/>
                <w:b/>
                <w:bCs/>
                <w:color w:val="1A2E4A"/>
                <w:sz w:val="20"/>
                <w:szCs w:val="20"/>
              </w:rPr>
              <w:t xml:space="preserve">—</w:t>
            </w:r>
          </w:p>
        </w:tc>
        <w:tc>
          <w:tcPr>
            <w:tcBorders>
              <w:top w:val="double" w:color="1A2E4A" w:sz="6"/>
              <w:left w:val="single" w:color="CCCCCC" w:sz="1"/>
              <w:bottom w:val="single" w:color="CCCCCC" w:sz="1"/>
              <w:right w:val="single" w:color="CCCCCC" w:sz="1"/>
            </w:tcBorders>
            <w:shd w:fill="F0F4FA" w:val="clear"/>
            <w:tcMar>
              <w:top w:type="dxa" w:w="80"/>
              <w:left w:type="dxa" w:w="140"/>
              <w:bottom w:type="dxa" w:w="80"/>
              <w:right w:type="dxa" w:w="140"/>
            </w:tcMar>
          </w:tcPr>
          <w:p>
            <w:pPr>
              <w:jc w:val="center"/>
            </w:pPr>
            <w:r>
              <w:rPr>
                <w:rFonts w:ascii="Times New Roman" w:cs="Times New Roman" w:eastAsia="Times New Roman" w:hAnsi="Times New Roman"/>
                <w:b/>
                <w:bCs/>
                <w:color w:val="1A2E4A"/>
                <w:sz w:val="20"/>
                <w:szCs w:val="20"/>
              </w:rPr>
              <w:t xml:space="preserve">0.697 ***</w:t>
            </w:r>
          </w:p>
        </w:tc>
        <w:tc>
          <w:tcPr>
            <w:tcBorders>
              <w:top w:val="double" w:color="1A2E4A" w:sz="6"/>
              <w:left w:val="single" w:color="CCCCCC" w:sz="1"/>
              <w:bottom w:val="single" w:color="CCCCCC" w:sz="1"/>
              <w:right w:val="single" w:color="CCCCCC" w:sz="1"/>
            </w:tcBorders>
            <w:shd w:fill="F0F4FA" w:val="clear"/>
            <w:tcMar>
              <w:top w:type="dxa" w:w="80"/>
              <w:left w:type="dxa" w:w="140"/>
              <w:bottom w:type="dxa" w:w="80"/>
              <w:right w:type="dxa" w:w="140"/>
            </w:tcMar>
          </w:tcPr>
          <w:p>
            <w:pPr>
              <w:jc w:val="center"/>
            </w:pPr>
            <w:r>
              <w:rPr>
                <w:rFonts w:ascii="Times New Roman" w:cs="Times New Roman" w:eastAsia="Times New Roman" w:hAnsi="Times New Roman"/>
                <w:b/>
                <w:bCs/>
                <w:color w:val="1A2E4A"/>
                <w:sz w:val="20"/>
                <w:szCs w:val="20"/>
              </w:rPr>
              <w:t xml:space="preserve">5.7 × 10⁻⁴⁵</w:t>
            </w:r>
          </w:p>
        </w:tc>
      </w:tr>
    </w:tbl>
    <w:p>
      <w:pPr>
        <w:spacing w:before="60" w:after="0"/>
      </w:pPr>
      <w:r>
        <w:rPr>
          <w:rFonts w:ascii="Times New Roman" w:cs="Times New Roman" w:eastAsia="Times New Roman" w:hAnsi="Times New Roman"/>
          <w:b w:val="false"/>
          <w:bCs w:val="false"/>
          <w:i w:val="false"/>
          <w:iCs w:val="false"/>
          <w:color w:val="000000"/>
          <w:sz w:val="22"/>
          <w:szCs w:val="22"/>
        </w:rPr>
        <w:t xml:space="preserve"/>
      </w:r>
    </w:p>
    <w:p>
      <w:pPr>
        <w:spacing w:before="40" w:after="120" w:line="276"/>
        <w:jc w:val="center"/>
      </w:pPr>
      <w:r>
        <w:rPr>
          <w:rFonts w:ascii="Times New Roman" w:cs="Times New Roman" w:eastAsia="Times New Roman" w:hAnsi="Times New Roman"/>
          <w:b w:val="false"/>
          <w:bCs w:val="false"/>
          <w:i/>
          <w:iCs/>
          <w:color w:val="000000"/>
          <w:sz w:val="22"/>
          <w:szCs w:val="22"/>
        </w:rPr>
        <w:t xml:space="preserve">Table 1.</w:t>
      </w:r>
      <w:r>
        <w:rPr>
          <w:rFonts w:ascii="Times New Roman" w:cs="Times New Roman" w:eastAsia="Times New Roman" w:hAnsi="Times New Roman"/>
          <w:b w:val="false"/>
          <w:bCs w:val="false"/>
          <w:i w:val="false"/>
          <w:iCs w:val="false"/>
          <w:color w:val="000000"/>
          <w:sz w:val="22"/>
          <w:szCs w:val="22"/>
        </w:rPr>
        <w:t xml:space="preserve"> AUC and TGC correlation results across all experimental conditions. *** p &lt; 0.001.</w:t>
      </w:r>
    </w:p>
    <w:p>
      <w:pPr>
        <w:spacing w:before="80" w:after="0"/>
      </w:pPr>
      <w:r>
        <w:rPr>
          <w:rFonts w:ascii="Times New Roman" w:cs="Times New Roman" w:eastAsia="Times New Roman" w:hAnsi="Times New Roman"/>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2E4A" w:sz="8"/>
              <w:left w:val="thick" w:color="1A2E4A" w:sz="28"/>
              <w:bottom w:val="single" w:color="CCCCCC" w:sz="2"/>
              <w:right w:val="none" w:color="FFFFFF" w:sz="0"/>
            </w:tcBorders>
            <w:shd w:fill="F0F4FA" w:val="clear"/>
            <w:tcMar>
              <w:top w:type="dxa" w:w="120"/>
              <w:left w:type="dxa" w:w="200"/>
              <w:bottom w:type="dxa" w:w="120"/>
              <w:right w:type="dxa" w:w="180"/>
            </w:tcMar>
          </w:tcPr>
          <w:p>
            <w:pPr>
              <w:spacing w:before="0" w:after="0" w:line="280"/>
              <w:jc w:val="both"/>
            </w:pPr>
            <w:r>
              <w:rPr>
                <w:rFonts w:ascii="Times New Roman" w:cs="Times New Roman" w:eastAsia="Times New Roman" w:hAnsi="Times New Roman"/>
                <w:i/>
                <w:iCs/>
                <w:color w:val="222222"/>
                <w:sz w:val="22"/>
                <w:szCs w:val="22"/>
              </w:rPr>
              <w:t xml:space="preserve">The empirical law: ∂AUC/∂TGC &gt; 0 across all conditions (r &gt; 0.84, p &lt; 10⁻²⁷). TGC is the dominant predictor of inferential performance. Not the anchoring policy. Higher structural growth reliably predicts higher AUC, regardless of operational mode.</w:t>
            </w:r>
          </w:p>
        </w:tc>
      </w:tr>
    </w:tbl>
    <w:p>
      <w:pPr>
        <w:pStyle w:val="Heading2"/>
        <w:spacing w:before="240" w:after="80"/>
      </w:pPr>
      <w:r>
        <w:rPr>
          <w:rFonts w:ascii="Arial" w:cs="Arial" w:eastAsia="Arial" w:hAnsi="Arial"/>
          <w:b/>
          <w:bCs/>
          <w:color w:val="1A2E4A"/>
          <w:sz w:val="23"/>
          <w:szCs w:val="23"/>
        </w:rPr>
        <w:t xml:space="preserve">5.3 The Inverted Ranking</w:t>
      </w:r>
    </w:p>
    <w:p>
      <w:pPr>
        <w:spacing w:before="80" w:after="100" w:line="276"/>
        <w:jc w:val="both"/>
      </w:pPr>
      <w:r>
        <w:rPr>
          <w:rFonts w:ascii="Times New Roman" w:cs="Times New Roman" w:eastAsia="Times New Roman" w:hAnsi="Times New Roman"/>
          <w:b w:val="false"/>
          <w:bCs w:val="false"/>
          <w:i w:val="false"/>
          <w:iCs w:val="false"/>
          <w:color w:val="000000"/>
          <w:sz w:val="22"/>
          <w:szCs w:val="22"/>
        </w:rPr>
        <w:t xml:space="preserve">The observed ranking AUC</w:t>
      </w:r>
      <w:r>
        <w:rPr>
          <w:rFonts w:ascii="Times New Roman" w:cs="Times New Roman" w:eastAsia="Times New Roman" w:hAnsi="Times New Roman"/>
          <w:sz w:val="22"/>
          <w:szCs w:val="22"/>
          <w:vertAlign w:val="subscript"/>
        </w:rPr>
        <w:t xml:space="preserve">Inverted</w:t>
      </w:r>
      <w:r>
        <w:rPr>
          <w:rFonts w:ascii="Times New Roman" w:cs="Times New Roman" w:eastAsia="Times New Roman" w:hAnsi="Times New Roman"/>
          <w:b w:val="false"/>
          <w:bCs w:val="false"/>
          <w:i w:val="false"/>
          <w:iCs w:val="false"/>
          <w:color w:val="000000"/>
          <w:sz w:val="22"/>
          <w:szCs w:val="22"/>
        </w:rPr>
        <w:t xml:space="preserve"> &gt; AUC</w:t>
      </w:r>
      <w:r>
        <w:rPr>
          <w:rFonts w:ascii="Times New Roman" w:cs="Times New Roman" w:eastAsia="Times New Roman" w:hAnsi="Times New Roman"/>
          <w:sz w:val="22"/>
          <w:szCs w:val="22"/>
          <w:vertAlign w:val="subscript"/>
        </w:rPr>
        <w:t xml:space="preserve">Off</w:t>
      </w:r>
      <w:r>
        <w:rPr>
          <w:rFonts w:ascii="Times New Roman" w:cs="Times New Roman" w:eastAsia="Times New Roman" w:hAnsi="Times New Roman"/>
          <w:b w:val="false"/>
          <w:bCs w:val="false"/>
          <w:i w:val="false"/>
          <w:iCs w:val="false"/>
          <w:color w:val="000000"/>
          <w:sz w:val="22"/>
          <w:szCs w:val="22"/>
        </w:rPr>
        <w:t xml:space="preserve"> &gt; AUC</w:t>
      </w:r>
      <w:r>
        <w:rPr>
          <w:rFonts w:ascii="Times New Roman" w:cs="Times New Roman" w:eastAsia="Times New Roman" w:hAnsi="Times New Roman"/>
          <w:sz w:val="22"/>
          <w:szCs w:val="22"/>
          <w:vertAlign w:val="subscript"/>
        </w:rPr>
        <w:t xml:space="preserve">Normal</w:t>
      </w:r>
      <w:r>
        <w:rPr>
          <w:rFonts w:ascii="Times New Roman" w:cs="Times New Roman" w:eastAsia="Times New Roman" w:hAnsi="Times New Roman"/>
          <w:b w:val="false"/>
          <w:bCs w:val="false"/>
          <w:i w:val="false"/>
          <w:iCs w:val="false"/>
          <w:color w:val="000000"/>
          <w:sz w:val="22"/>
          <w:szCs w:val="22"/>
        </w:rPr>
        <w:t xml:space="preserve"> directly contradicts the design hypothesis. This inversion is fully explained by the Adaptive Penalty Trap: (1) Off/Inverted modes generate foam — foam inflates AUC via trivially easy negatives; (2) Normal mode reorganizes the embedding space — reorganization is penalized by static test edges. The true ranking of generative quality is exactly reversed by the metric artifact.</w:t>
      </w:r>
    </w:p>
    <w:p>
      <w:pPr>
        <w:spacing w:before="60" w:after="0"/>
      </w:pPr>
      <w:r>
        <w:rPr>
          <w:rFonts w:ascii="Times New Roman" w:cs="Times New Roman" w:eastAsia="Times New Roman" w:hAnsi="Times New Roman"/>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8"/>
              <w:left w:val="thick" w:color="C0392B" w:sz="28"/>
              <w:bottom w:val="single" w:color="CCCCCC" w:sz="2"/>
              <w:right w:val="none" w:color="FFFFFF" w:sz="0"/>
            </w:tcBorders>
            <w:shd w:fill="FEF3F3" w:val="clear"/>
            <w:tcMar>
              <w:top w:type="dxa" w:w="120"/>
              <w:left w:type="dxa" w:w="200"/>
              <w:bottom w:type="dxa" w:w="120"/>
              <w:right w:type="dxa" w:w="180"/>
            </w:tcMar>
          </w:tcPr>
          <w:p>
            <w:pPr>
              <w:spacing w:before="0" w:after="0" w:line="280"/>
              <w:jc w:val="both"/>
            </w:pPr>
            <w:r>
              <w:rPr>
                <w:rFonts w:ascii="Times New Roman" w:cs="Times New Roman" w:eastAsia="Times New Roman" w:hAnsi="Times New Roman"/>
                <w:i/>
                <w:iCs/>
                <w:color w:val="222222"/>
                <w:sz w:val="22"/>
                <w:szCs w:val="22"/>
              </w:rPr>
              <w:t xml:space="preserve">This inversion is not a finding about the system. It is a finding about the measurement instrument.</w:t>
            </w:r>
          </w:p>
        </w:tc>
      </w:tr>
    </w:tbl>
    <w:p>
      <w:pPr>
        <w:pStyle w:val="Heading1"/>
        <w:pBdr>
          <w:bottom w:val="single" w:color="1A2E4A" w:sz="6" w:space="3"/>
        </w:pBdr>
        <w:spacing w:before="360" w:after="120"/>
      </w:pPr>
      <w:r>
        <w:rPr>
          <w:rFonts w:ascii="Arial" w:cs="Arial" w:eastAsia="Arial" w:hAnsi="Arial"/>
          <w:b/>
          <w:bCs/>
          <w:color w:val="1A2E4A"/>
          <w:sz w:val="26"/>
          <w:szCs w:val="26"/>
        </w:rPr>
        <w:t xml:space="preserve">6. Corrective Evaluation Framework</w:t>
      </w:r>
    </w:p>
    <w:p>
      <w:pPr>
        <w:pStyle w:val="Heading2"/>
        <w:spacing w:before="240" w:after="80"/>
      </w:pPr>
      <w:r>
        <w:rPr>
          <w:rFonts w:ascii="Arial" w:cs="Arial" w:eastAsia="Arial" w:hAnsi="Arial"/>
          <w:b/>
          <w:bCs/>
          <w:color w:val="1A2E4A"/>
          <w:sz w:val="23"/>
          <w:szCs w:val="23"/>
        </w:rPr>
        <w:t xml:space="preserve">6.1 Generative Coherence AUC</w:t>
      </w:r>
    </w:p>
    <w:p>
      <w:pPr>
        <w:spacing w:before="80" w:after="100" w:line="276"/>
        <w:jc w:val="both"/>
      </w:pPr>
      <w:r>
        <w:rPr>
          <w:rFonts w:ascii="Times New Roman" w:cs="Times New Roman" w:eastAsia="Times New Roman" w:hAnsi="Times New Roman"/>
          <w:b/>
          <w:bCs/>
          <w:i w:val="false"/>
          <w:iCs w:val="false"/>
          <w:color w:val="000000"/>
          <w:sz w:val="22"/>
          <w:szCs w:val="22"/>
        </w:rPr>
        <w:t xml:space="preserve">AUC</w:t>
      </w:r>
      <w:r>
        <w:rPr>
          <w:rFonts w:ascii="Times New Roman" w:cs="Times New Roman" w:eastAsia="Times New Roman" w:hAnsi="Times New Roman"/>
          <w:sz w:val="22"/>
          <w:szCs w:val="22"/>
          <w:vertAlign w:val="subscript"/>
        </w:rPr>
        <w:t xml:space="preserve">synth</w:t>
      </w:r>
      <w:r>
        <w:rPr>
          <w:rFonts w:ascii="Times New Roman" w:cs="Times New Roman" w:eastAsia="Times New Roman" w:hAnsi="Times New Roman"/>
          <w:b w:val="false"/>
          <w:bCs w:val="false"/>
          <w:i w:val="false"/>
          <w:iCs w:val="false"/>
          <w:color w:val="000000"/>
          <w:sz w:val="22"/>
          <w:szCs w:val="22"/>
        </w:rPr>
        <w:t xml:space="preserve"> = P( s(u,v) &gt; s(u’,v’) | (u,v) ∈ E</w:t>
      </w:r>
      <w:r>
        <w:rPr>
          <w:rFonts w:ascii="Times New Roman" w:cs="Times New Roman" w:eastAsia="Times New Roman" w:hAnsi="Times New Roman"/>
          <w:sz w:val="22"/>
          <w:szCs w:val="22"/>
          <w:vertAlign w:val="subscript"/>
        </w:rPr>
        <w:t xml:space="preserve">Δt</w:t>
      </w:r>
      <w:r>
        <w:rPr>
          <w:rFonts w:ascii="Times New Roman" w:cs="Times New Roman" w:eastAsia="Times New Roman" w:hAnsi="Times New Roman"/>
          <w:b w:val="false"/>
          <w:bCs w:val="false"/>
          <w:i w:val="false"/>
          <w:iCs w:val="false"/>
          <w:color w:val="000000"/>
          <w:sz w:val="22"/>
          <w:szCs w:val="22"/>
        </w:rPr>
        <w:t xml:space="preserve">, (u’,v’) ∈ N</w:t>
      </w:r>
      <w:r>
        <w:rPr>
          <w:rFonts w:ascii="Times New Roman" w:cs="Times New Roman" w:eastAsia="Times New Roman" w:hAnsi="Times New Roman"/>
          <w:sz w:val="22"/>
          <w:szCs w:val="22"/>
          <w:vertAlign w:val="subscript"/>
        </w:rPr>
        <w:t xml:space="preserve">Cora</w:t>
      </w:r>
      <w:r>
        <w:rPr>
          <w:rFonts w:ascii="Times New Roman" w:cs="Times New Roman" w:eastAsia="Times New Roman" w:hAnsi="Times New Roman"/>
          <w:b w:val="false"/>
          <w:bCs w:val="false"/>
          <w:i w:val="false"/>
          <w:iCs w:val="false"/>
          <w:color w:val="000000"/>
          <w:sz w:val="22"/>
          <w:szCs w:val="22"/>
        </w:rPr>
        <w:t xml:space="preserve"> )</w:t>
      </w:r>
    </w:p>
    <w:p>
      <w:pPr>
        <w:spacing w:before="60" w:after="0"/>
      </w:pPr>
      <w:r>
        <w:rPr>
          <w:rFonts w:ascii="Times New Roman" w:cs="Times New Roman" w:eastAsia="Times New Roman" w:hAnsi="Times New Roman"/>
          <w:b w:val="false"/>
          <w:bCs w:val="false"/>
          <w:i w:val="false"/>
          <w:iCs w:val="false"/>
          <w:color w:val="000000"/>
          <w:sz w:val="22"/>
          <w:szCs w:val="22"/>
        </w:rPr>
        <w:t xml:space="preserve"/>
      </w:r>
    </w:p>
    <w:p>
      <w:pPr>
        <w:pStyle w:val="ListParagraph"/>
        <w:numPr>
          <w:ilvl w:val="0"/>
          <w:numId w:val="3"/>
        </w:numPr>
        <w:spacing w:before="60" w:after="60" w:line="270"/>
      </w:pPr>
      <w:r>
        <w:rPr>
          <w:rFonts w:ascii="Times New Roman" w:cs="Times New Roman" w:eastAsia="Times New Roman" w:hAnsi="Times New Roman"/>
          <w:b/>
          <w:bCs/>
          <w:i w:val="false"/>
          <w:iCs w:val="false"/>
          <w:color w:val="000000"/>
          <w:sz w:val="22"/>
          <w:szCs w:val="22"/>
        </w:rPr>
        <w:t xml:space="preserve">Positives: </w:t>
      </w:r>
      <w:r>
        <w:rPr>
          <w:rFonts w:ascii="Times New Roman" w:cs="Times New Roman" w:eastAsia="Times New Roman" w:hAnsi="Times New Roman"/>
          <w:b w:val="false"/>
          <w:bCs w:val="false"/>
          <w:i w:val="false"/>
          <w:iCs w:val="false"/>
          <w:color w:val="000000"/>
          <w:sz w:val="22"/>
          <w:szCs w:val="22"/>
        </w:rPr>
        <w:t xml:space="preserve">EΔt — edges born exactly at cycle t. Never stale.</w:t>
      </w:r>
    </w:p>
    <w:p>
      <w:pPr>
        <w:pStyle w:val="ListParagraph"/>
        <w:numPr>
          <w:ilvl w:val="0"/>
          <w:numId w:val="3"/>
        </w:numPr>
        <w:spacing w:before="60" w:after="60" w:line="270"/>
      </w:pPr>
      <w:r>
        <w:rPr>
          <w:rFonts w:ascii="Times New Roman" w:cs="Times New Roman" w:eastAsia="Times New Roman" w:hAnsi="Times New Roman"/>
          <w:b/>
          <w:bCs/>
          <w:i w:val="false"/>
          <w:iCs w:val="false"/>
          <w:color w:val="000000"/>
          <w:sz w:val="22"/>
          <w:szCs w:val="22"/>
        </w:rPr>
        <w:t xml:space="preserve">Negatives: </w:t>
      </w:r>
      <w:r>
        <w:rPr>
          <w:rFonts w:ascii="Times New Roman" w:cs="Times New Roman" w:eastAsia="Times New Roman" w:hAnsi="Times New Roman"/>
          <w:b w:val="false"/>
          <w:bCs w:val="false"/>
          <w:i w:val="false"/>
          <w:iCs w:val="false"/>
          <w:color w:val="000000"/>
          <w:sz w:val="22"/>
          <w:szCs w:val="22"/>
        </w:rPr>
        <w:t xml:space="preserve">N</w:t>
      </w:r>
      <w:r>
        <w:rPr>
          <w:rFonts w:ascii="Times New Roman" w:cs="Times New Roman" w:eastAsia="Times New Roman" w:hAnsi="Times New Roman"/>
          <w:sz w:val="22"/>
          <w:szCs w:val="22"/>
          <w:vertAlign w:val="subscript"/>
        </w:rPr>
        <w:t xml:space="preserve">Cora</w:t>
      </w:r>
      <w:r>
        <w:rPr>
          <w:rFonts w:ascii="Times New Roman" w:cs="Times New Roman" w:eastAsia="Times New Roman" w:hAnsi="Times New Roman"/>
          <w:b w:val="false"/>
          <w:bCs w:val="false"/>
          <w:i w:val="false"/>
          <w:iCs w:val="false"/>
          <w:color w:val="000000"/>
          <w:sz w:val="22"/>
          <w:szCs w:val="22"/>
        </w:rPr>
        <w:t xml:space="preserve"> ⊂ V</w:t>
      </w:r>
      <w:r>
        <w:rPr>
          <w:rFonts w:ascii="Times New Roman" w:cs="Times New Roman" w:eastAsia="Times New Roman" w:hAnsi="Times New Roman"/>
          <w:sz w:val="22"/>
          <w:szCs w:val="22"/>
          <w:vertAlign w:val="subscript"/>
        </w:rPr>
        <w:t xml:space="preserve">Cora</w:t>
      </w:r>
      <w:r>
        <w:rPr>
          <w:rFonts w:ascii="Times New Roman" w:cs="Times New Roman" w:eastAsia="Times New Roman" w:hAnsi="Times New Roman"/>
          <w:b w:val="false"/>
          <w:bCs w:val="false"/>
          <w:i w:val="false"/>
          <w:iCs w:val="false"/>
          <w:color w:val="000000"/>
          <w:sz w:val="22"/>
          <w:szCs w:val="22"/>
        </w:rPr>
        <w:t xml:space="preserve"> × V</w:t>
      </w:r>
      <w:r>
        <w:rPr>
          <w:rFonts w:ascii="Times New Roman" w:cs="Times New Roman" w:eastAsia="Times New Roman" w:hAnsi="Times New Roman"/>
          <w:sz w:val="22"/>
          <w:szCs w:val="22"/>
          <w:vertAlign w:val="subscript"/>
        </w:rPr>
        <w:t xml:space="preserve">Cora</w:t>
      </w:r>
      <w:r>
        <w:rPr>
          <w:rFonts w:ascii="Times New Roman" w:cs="Times New Roman" w:eastAsia="Times New Roman" w:hAnsi="Times New Roman"/>
          <w:b w:val="false"/>
          <w:bCs w:val="false"/>
          <w:i w:val="false"/>
          <w:iCs w:val="false"/>
          <w:color w:val="000000"/>
          <w:sz w:val="22"/>
          <w:szCs w:val="22"/>
        </w:rPr>
        <w:t xml:space="preserve"> \ Eₜ — both endpoints must be original Cora nodes. Foam structurally excluded.</w:t>
      </w:r>
    </w:p>
    <w:p>
      <w:pPr>
        <w:pStyle w:val="ListParagraph"/>
        <w:numPr>
          <w:ilvl w:val="0"/>
          <w:numId w:val="3"/>
        </w:numPr>
        <w:spacing w:before="60" w:after="60" w:line="270"/>
      </w:pPr>
      <w:r>
        <w:rPr>
          <w:rFonts w:ascii="Times New Roman" w:cs="Times New Roman" w:eastAsia="Times New Roman" w:hAnsi="Times New Roman"/>
          <w:b/>
          <w:bCs/>
          <w:i w:val="false"/>
          <w:iCs w:val="false"/>
          <w:color w:val="000000"/>
          <w:sz w:val="22"/>
          <w:szCs w:val="22"/>
        </w:rPr>
        <w:t xml:space="preserve">Score: </w:t>
      </w:r>
      <w:r>
        <w:rPr>
          <w:rFonts w:ascii="Times New Roman" w:cs="Times New Roman" w:eastAsia="Times New Roman" w:hAnsi="Times New Roman"/>
          <w:b w:val="false"/>
          <w:bCs w:val="false"/>
          <w:i w:val="false"/>
          <w:iCs w:val="false"/>
          <w:color w:val="000000"/>
          <w:sz w:val="22"/>
          <w:szCs w:val="22"/>
        </w:rPr>
        <w:t xml:space="preserve">s(u,v) = σ(-d</w:t>
      </w:r>
      <w:r>
        <w:rPr>
          <w:rFonts w:ascii="Times New Roman" w:cs="Times New Roman" w:eastAsia="Times New Roman" w:hAnsi="Times New Roman"/>
          <w:sz w:val="22"/>
          <w:szCs w:val="22"/>
          <w:vertAlign w:val="subscript"/>
        </w:rPr>
        <w:t xml:space="preserve">H</w:t>
      </w:r>
      <w:r>
        <w:rPr>
          <w:rFonts w:ascii="Times New Roman" w:cs="Times New Roman" w:eastAsia="Times New Roman" w:hAnsi="Times New Roman"/>
          <w:b w:val="false"/>
          <w:bCs w:val="false"/>
          <w:i w:val="false"/>
          <w:iCs w:val="false"/>
          <w:color w:val="000000"/>
          <w:sz w:val="22"/>
          <w:szCs w:val="22"/>
        </w:rPr>
        <w:t xml:space="preserve">(u,v)/τ)</w:t>
      </w:r>
    </w:p>
    <w:p>
      <w:pPr>
        <w:spacing w:before="60" w:after="0"/>
      </w:pPr>
      <w:r>
        <w:rPr>
          <w:rFonts w:ascii="Times New Roman" w:cs="Times New Roman" w:eastAsia="Times New Roman" w:hAnsi="Times New Roman"/>
          <w:b w:val="false"/>
          <w:bCs w:val="false"/>
          <w:i w:val="false"/>
          <w:iCs w:val="false"/>
          <w:color w:val="000000"/>
          <w:sz w:val="22"/>
          <w:szCs w:val="22"/>
        </w:rPr>
        <w:t xml:space="preserve"/>
      </w:r>
    </w:p>
    <w:p>
      <w:pPr>
        <w:spacing w:before="80" w:after="100" w:line="276"/>
        <w:jc w:val="both"/>
      </w:pPr>
      <w:r>
        <w:rPr>
          <w:rFonts w:ascii="Times New Roman" w:cs="Times New Roman" w:eastAsia="Times New Roman" w:hAnsi="Times New Roman"/>
          <w:b w:val="false"/>
          <w:bCs w:val="false"/>
          <w:i/>
          <w:iCs/>
          <w:color w:val="000000"/>
          <w:sz w:val="22"/>
          <w:szCs w:val="22"/>
        </w:rPr>
        <w:t xml:space="preserve">Predicted ranking: </w:t>
      </w:r>
      <w:r>
        <w:rPr>
          <w:rFonts w:ascii="Times New Roman" w:cs="Times New Roman" w:eastAsia="Times New Roman" w:hAnsi="Times New Roman"/>
          <w:b w:val="false"/>
          <w:bCs w:val="false"/>
          <w:i w:val="false"/>
          <w:iCs w:val="false"/>
          <w:color w:val="000000"/>
          <w:sz w:val="22"/>
          <w:szCs w:val="22"/>
        </w:rPr>
        <w:t xml:space="preserve">Normal &gt; Off &gt; Inverted</w:t>
      </w:r>
    </w:p>
    <w:p>
      <w:pPr>
        <w:pStyle w:val="Heading2"/>
        <w:spacing w:before="240" w:after="80"/>
      </w:pPr>
      <w:r>
        <w:rPr>
          <w:rFonts w:ascii="Arial" w:cs="Arial" w:eastAsia="Arial" w:hAnsi="Arial"/>
          <w:b/>
          <w:bCs/>
          <w:color w:val="1A2E4A"/>
          <w:sz w:val="23"/>
          <w:szCs w:val="23"/>
        </w:rPr>
        <w:t xml:space="preserve">6.2 Homophily Delta</w:t>
      </w:r>
    </w:p>
    <w:p>
      <w:pPr>
        <w:spacing w:before="140" w:after="140"/>
        <w:jc w:val="center"/>
      </w:pPr>
      <w:r>
        <w:rPr>
          <w:rFonts w:ascii="Courier New" w:cs="Courier New" w:eastAsia="Courier New" w:hAnsi="Courier New"/>
          <w:color w:val="1A2E4A"/>
          <w:sz w:val="22"/>
          <w:szCs w:val="22"/>
        </w:rPr>
        <w:t xml:space="preserve">Δh = h(E_Δt) - h_rand,   h_rand = Σ_c (n_c/N)²</w:t>
      </w:r>
    </w:p>
    <w:p>
      <w:pPr>
        <w:spacing w:before="80" w:after="100" w:line="276"/>
        <w:jc w:val="both"/>
      </w:pPr>
      <w:r>
        <w:rPr>
          <w:rFonts w:ascii="Times New Roman" w:cs="Times New Roman" w:eastAsia="Times New Roman" w:hAnsi="Times New Roman"/>
          <w:b w:val="false"/>
          <w:bCs w:val="false"/>
          <w:i w:val="false"/>
          <w:iCs w:val="false"/>
          <w:color w:val="000000"/>
          <w:sz w:val="22"/>
          <w:szCs w:val="22"/>
        </w:rPr>
        <w:t xml:space="preserve">h(EΔt) = fraction of new edges connecting same-class node pairs.</w:t>
      </w:r>
    </w:p>
    <w:p>
      <w:pPr>
        <w:spacing w:before="40" w:after="0"/>
      </w:pPr>
      <w:r>
        <w:rPr>
          <w:rFonts w:ascii="Times New Roman" w:cs="Times New Roman" w:eastAsia="Times New Roman" w:hAnsi="Times New Roman"/>
          <w:b w:val="false"/>
          <w:bCs w:val="false"/>
          <w:i w:val="false"/>
          <w:iCs w:val="false"/>
          <w:color w:val="000000"/>
          <w:sz w:val="22"/>
          <w:szCs w:val="22"/>
        </w:rPr>
        <w:t xml:space="preserve"/>
      </w:r>
    </w:p>
    <w:p>
      <w:pPr>
        <w:pStyle w:val="ListParagraph"/>
        <w:numPr>
          <w:ilvl w:val="0"/>
          <w:numId w:val="3"/>
        </w:numPr>
        <w:spacing w:before="60" w:after="60" w:line="270"/>
      </w:pPr>
      <w:r>
        <w:rPr>
          <w:rFonts w:ascii="Times New Roman" w:cs="Times New Roman" w:eastAsia="Times New Roman" w:hAnsi="Times New Roman"/>
          <w:b/>
          <w:bCs/>
          <w:i w:val="false"/>
          <w:iCs w:val="false"/>
          <w:color w:val="000000"/>
          <w:sz w:val="22"/>
          <w:szCs w:val="22"/>
        </w:rPr>
        <w:t xml:space="preserve">Δh &gt; 0: </w:t>
      </w:r>
      <w:r>
        <w:rPr>
          <w:rFonts w:ascii="Times New Roman" w:cs="Times New Roman" w:eastAsia="Times New Roman" w:hAnsi="Times New Roman"/>
          <w:b w:val="false"/>
          <w:bCs w:val="false"/>
          <w:i w:val="false"/>
          <w:iCs w:val="false"/>
          <w:color w:val="000000"/>
          <w:sz w:val="22"/>
          <w:szCs w:val="22"/>
        </w:rPr>
        <w:t xml:space="preserve">anabolic drift — Zaratustra builds semantic coherence</w:t>
      </w:r>
    </w:p>
    <w:p>
      <w:pPr>
        <w:pStyle w:val="ListParagraph"/>
        <w:numPr>
          <w:ilvl w:val="0"/>
          <w:numId w:val="3"/>
        </w:numPr>
        <w:spacing w:before="60" w:after="60" w:line="270"/>
      </w:pPr>
      <w:r>
        <w:rPr>
          <w:rFonts w:ascii="Times New Roman" w:cs="Times New Roman" w:eastAsia="Times New Roman" w:hAnsi="Times New Roman"/>
          <w:b/>
          <w:bCs/>
          <w:i w:val="false"/>
          <w:iCs w:val="false"/>
          <w:color w:val="000000"/>
          <w:sz w:val="22"/>
          <w:szCs w:val="22"/>
        </w:rPr>
        <w:t xml:space="preserve">Δh ≈ 0: </w:t>
      </w:r>
      <w:r>
        <w:rPr>
          <w:rFonts w:ascii="Times New Roman" w:cs="Times New Roman" w:eastAsia="Times New Roman" w:hAnsi="Times New Roman"/>
          <w:b w:val="false"/>
          <w:bCs w:val="false"/>
          <w:i w:val="false"/>
          <w:iCs w:val="false"/>
          <w:color w:val="000000"/>
          <w:sz w:val="22"/>
          <w:szCs w:val="22"/>
        </w:rPr>
        <w:t xml:space="preserve">structurally neutral (Off)</w:t>
      </w:r>
    </w:p>
    <w:p>
      <w:pPr>
        <w:pStyle w:val="ListParagraph"/>
        <w:numPr>
          <w:ilvl w:val="0"/>
          <w:numId w:val="3"/>
        </w:numPr>
        <w:spacing w:before="60" w:after="60" w:line="270"/>
      </w:pPr>
      <w:r>
        <w:rPr>
          <w:rFonts w:ascii="Times New Roman" w:cs="Times New Roman" w:eastAsia="Times New Roman" w:hAnsi="Times New Roman"/>
          <w:b/>
          <w:bCs/>
          <w:i w:val="false"/>
          <w:iCs w:val="false"/>
          <w:color w:val="000000"/>
          <w:sz w:val="22"/>
          <w:szCs w:val="22"/>
        </w:rPr>
        <w:t xml:space="preserve">Δh &lt; 0: </w:t>
      </w:r>
      <w:r>
        <w:rPr>
          <w:rFonts w:ascii="Times New Roman" w:cs="Times New Roman" w:eastAsia="Times New Roman" w:hAnsi="Times New Roman"/>
          <w:b w:val="false"/>
          <w:bCs w:val="false"/>
          <w:i w:val="false"/>
          <w:iCs w:val="false"/>
          <w:color w:val="000000"/>
          <w:sz w:val="22"/>
          <w:szCs w:val="22"/>
        </w:rPr>
        <w:t xml:space="preserve">catabolic drift — Zaratustra connects noise</w:t>
      </w:r>
    </w:p>
    <w:p>
      <w:pPr>
        <w:spacing w:before="60" w:after="0"/>
      </w:pPr>
      <w:r>
        <w:rPr>
          <w:rFonts w:ascii="Times New Roman" w:cs="Times New Roman" w:eastAsia="Times New Roman" w:hAnsi="Times New Roman"/>
          <w:b w:val="false"/>
          <w:bCs w:val="false"/>
          <w:i w:val="false"/>
          <w:iCs w:val="false"/>
          <w:color w:val="000000"/>
          <w:sz w:val="22"/>
          <w:szCs w:val="22"/>
        </w:rPr>
        <w:t xml:space="preserve"/>
      </w:r>
    </w:p>
    <w:p>
      <w:pPr>
        <w:spacing w:before="80" w:after="100" w:line="276"/>
        <w:jc w:val="both"/>
      </w:pPr>
      <w:r>
        <w:rPr>
          <w:rFonts w:ascii="Times New Roman" w:cs="Times New Roman" w:eastAsia="Times New Roman" w:hAnsi="Times New Roman"/>
          <w:b w:val="false"/>
          <w:bCs w:val="false"/>
          <w:i/>
          <w:iCs/>
          <w:color w:val="000000"/>
          <w:sz w:val="22"/>
          <w:szCs w:val="22"/>
        </w:rPr>
        <w:t xml:space="preserve">Predicted ranking: </w:t>
      </w:r>
      <w:r>
        <w:rPr>
          <w:rFonts w:ascii="Times New Roman" w:cs="Times New Roman" w:eastAsia="Times New Roman" w:hAnsi="Times New Roman"/>
          <w:b w:val="false"/>
          <w:bCs w:val="false"/>
          <w:i w:val="false"/>
          <w:iCs w:val="false"/>
          <w:color w:val="000000"/>
          <w:sz w:val="22"/>
          <w:szCs w:val="22"/>
        </w:rPr>
        <w:t xml:space="preserve">Δh</w:t>
      </w:r>
      <w:r>
        <w:rPr>
          <w:rFonts w:ascii="Times New Roman" w:cs="Times New Roman" w:eastAsia="Times New Roman" w:hAnsi="Times New Roman"/>
          <w:sz w:val="22"/>
          <w:szCs w:val="22"/>
          <w:vertAlign w:val="subscript"/>
        </w:rPr>
        <w:t xml:space="preserve">Normal</w:t>
      </w:r>
      <w:r>
        <w:rPr>
          <w:rFonts w:ascii="Times New Roman" w:cs="Times New Roman" w:eastAsia="Times New Roman" w:hAnsi="Times New Roman"/>
          <w:b w:val="false"/>
          <w:bCs w:val="false"/>
          <w:i w:val="false"/>
          <w:iCs w:val="false"/>
          <w:color w:val="000000"/>
          <w:sz w:val="22"/>
          <w:szCs w:val="22"/>
        </w:rPr>
        <w:t xml:space="preserve"> &gt; Δh</w:t>
      </w:r>
      <w:r>
        <w:rPr>
          <w:rFonts w:ascii="Times New Roman" w:cs="Times New Roman" w:eastAsia="Times New Roman" w:hAnsi="Times New Roman"/>
          <w:sz w:val="22"/>
          <w:szCs w:val="22"/>
          <w:vertAlign w:val="subscript"/>
        </w:rPr>
        <w:t xml:space="preserve">Off</w:t>
      </w:r>
      <w:r>
        <w:rPr>
          <w:rFonts w:ascii="Times New Roman" w:cs="Times New Roman" w:eastAsia="Times New Roman" w:hAnsi="Times New Roman"/>
          <w:b w:val="false"/>
          <w:bCs w:val="false"/>
          <w:i w:val="false"/>
          <w:iCs w:val="false"/>
          <w:color w:val="000000"/>
          <w:sz w:val="22"/>
          <w:szCs w:val="22"/>
        </w:rPr>
        <w:t xml:space="preserve"> ≈ 0 &gt; Δh</w:t>
      </w:r>
      <w:r>
        <w:rPr>
          <w:rFonts w:ascii="Times New Roman" w:cs="Times New Roman" w:eastAsia="Times New Roman" w:hAnsi="Times New Roman"/>
          <w:sz w:val="22"/>
          <w:szCs w:val="22"/>
          <w:vertAlign w:val="subscript"/>
        </w:rPr>
        <w:t xml:space="preserve">Inverted</w:t>
      </w:r>
    </w:p>
    <w:p>
      <w:pPr>
        <w:pStyle w:val="Heading2"/>
        <w:spacing w:before="240" w:after="80"/>
      </w:pPr>
      <w:r>
        <w:rPr>
          <w:rFonts w:ascii="Arial" w:cs="Arial" w:eastAsia="Arial" w:hAnsi="Arial"/>
          <w:b/>
          <w:bCs/>
          <w:color w:val="1A2E4A"/>
          <w:sz w:val="23"/>
          <w:szCs w:val="23"/>
        </w:rPr>
        <w:t xml:space="preserve">6.3 Node Classification Accuracy (Linear Probe)</w:t>
      </w:r>
    </w:p>
    <w:p>
      <w:pPr>
        <w:spacing w:before="140" w:after="140"/>
        <w:jc w:val="center"/>
      </w:pPr>
      <w:r>
        <w:rPr>
          <w:rFonts w:ascii="Courier New" w:cs="Courier New" w:eastAsia="Courier New" w:hAnsi="Courier New"/>
          <w:color w:val="1A2E4A"/>
          <w:sz w:val="22"/>
          <w:szCs w:val="22"/>
        </w:rPr>
        <w:t xml:space="preserve">NCA_t = (1/K) Σ_k Acc( f̂_θ^(k), V_test^(k) )</w:t>
      </w:r>
    </w:p>
    <w:p>
      <w:pPr>
        <w:spacing w:before="80" w:after="100" w:line="276"/>
        <w:jc w:val="both"/>
      </w:pPr>
      <w:r>
        <w:rPr>
          <w:rFonts w:ascii="Times New Roman" w:cs="Times New Roman" w:eastAsia="Times New Roman" w:hAnsi="Times New Roman"/>
          <w:b w:val="false"/>
          <w:bCs w:val="false"/>
          <w:i w:val="false"/>
          <w:iCs w:val="false"/>
          <w:color w:val="000000"/>
          <w:sz w:val="22"/>
          <w:szCs w:val="22"/>
        </w:rPr>
        <w:t xml:space="preserve">Stratified K-fold cross-validation on Cora node embeddings Hₜ[V</w:t>
      </w:r>
      <w:r>
        <w:rPr>
          <w:rFonts w:ascii="Times New Roman" w:cs="Times New Roman" w:eastAsia="Times New Roman" w:hAnsi="Times New Roman"/>
          <w:sz w:val="22"/>
          <w:szCs w:val="22"/>
          <w:vertAlign w:val="subscript"/>
        </w:rPr>
        <w:t xml:space="preserve">Cora</w:t>
      </w:r>
      <w:r>
        <w:rPr>
          <w:rFonts w:ascii="Times New Roman" w:cs="Times New Roman" w:eastAsia="Times New Roman" w:hAnsi="Times New Roman"/>
          <w:b w:val="false"/>
          <w:bCs w:val="false"/>
          <w:i w:val="false"/>
          <w:iCs w:val="false"/>
          <w:color w:val="000000"/>
          <w:sz w:val="22"/>
          <w:szCs w:val="22"/>
        </w:rPr>
        <w:t xml:space="preserve">]. Tests whether embedding drift is anabolic: does reorganization preserve or improve linear separability of semantic classes?</w:t>
      </w:r>
    </w:p>
    <w:p>
      <w:pPr>
        <w:spacing w:before="80" w:after="100" w:line="276"/>
        <w:jc w:val="both"/>
      </w:pPr>
      <w:r>
        <w:rPr>
          <w:rFonts w:ascii="Times New Roman" w:cs="Times New Roman" w:eastAsia="Times New Roman" w:hAnsi="Times New Roman"/>
          <w:b w:val="false"/>
          <w:bCs w:val="false"/>
          <w:i/>
          <w:iCs/>
          <w:color w:val="000000"/>
          <w:sz w:val="22"/>
          <w:szCs w:val="22"/>
        </w:rPr>
        <w:t xml:space="preserve">Predicted ranking: </w:t>
      </w:r>
      <w:r>
        <w:rPr>
          <w:rFonts w:ascii="Times New Roman" w:cs="Times New Roman" w:eastAsia="Times New Roman" w:hAnsi="Times New Roman"/>
          <w:b w:val="false"/>
          <w:bCs w:val="false"/>
          <w:i w:val="false"/>
          <w:iCs w:val="false"/>
          <w:color w:val="000000"/>
          <w:sz w:val="22"/>
          <w:szCs w:val="22"/>
        </w:rPr>
        <w:t xml:space="preserve">NCA</w:t>
      </w:r>
      <w:r>
        <w:rPr>
          <w:rFonts w:ascii="Times New Roman" w:cs="Times New Roman" w:eastAsia="Times New Roman" w:hAnsi="Times New Roman"/>
          <w:sz w:val="22"/>
          <w:szCs w:val="22"/>
          <w:vertAlign w:val="subscript"/>
        </w:rPr>
        <w:t xml:space="preserve">Normal</w:t>
      </w:r>
      <w:r>
        <w:rPr>
          <w:rFonts w:ascii="Times New Roman" w:cs="Times New Roman" w:eastAsia="Times New Roman" w:hAnsi="Times New Roman"/>
          <w:b w:val="false"/>
          <w:bCs w:val="false"/>
          <w:i w:val="false"/>
          <w:iCs w:val="false"/>
          <w:color w:val="000000"/>
          <w:sz w:val="22"/>
          <w:szCs w:val="22"/>
        </w:rPr>
        <w:t xml:space="preserve"> ≥ NCA</w:t>
      </w:r>
      <w:r>
        <w:rPr>
          <w:rFonts w:ascii="Times New Roman" w:cs="Times New Roman" w:eastAsia="Times New Roman" w:hAnsi="Times New Roman"/>
          <w:sz w:val="22"/>
          <w:szCs w:val="22"/>
          <w:vertAlign w:val="subscript"/>
        </w:rPr>
        <w:t xml:space="preserve">Off</w:t>
      </w:r>
      <w:r>
        <w:rPr>
          <w:rFonts w:ascii="Times New Roman" w:cs="Times New Roman" w:eastAsia="Times New Roman" w:hAnsi="Times New Roman"/>
          <w:b w:val="false"/>
          <w:bCs w:val="false"/>
          <w:i w:val="false"/>
          <w:iCs w:val="false"/>
          <w:color w:val="000000"/>
          <w:sz w:val="22"/>
          <w:szCs w:val="22"/>
        </w:rPr>
        <w:t xml:space="preserve"> &gt; NCA</w:t>
      </w:r>
      <w:r>
        <w:rPr>
          <w:rFonts w:ascii="Times New Roman" w:cs="Times New Roman" w:eastAsia="Times New Roman" w:hAnsi="Times New Roman"/>
          <w:sz w:val="22"/>
          <w:szCs w:val="22"/>
          <w:vertAlign w:val="subscript"/>
        </w:rPr>
        <w:t xml:space="preserve">Inverted</w:t>
      </w:r>
    </w:p>
    <w:p>
      <w:pPr>
        <w:pStyle w:val="Heading2"/>
        <w:spacing w:before="240" w:after="80"/>
      </w:pPr>
      <w:r>
        <w:rPr>
          <w:rFonts w:ascii="Arial" w:cs="Arial" w:eastAsia="Arial" w:hAnsi="Arial"/>
          <w:b/>
          <w:bCs/>
          <w:color w:val="1A2E4A"/>
          <w:sz w:val="23"/>
          <w:szCs w:val="23"/>
        </w:rPr>
        <w:t xml:space="preserve">6.4 The Corrected Theorem</w:t>
      </w:r>
    </w:p>
    <w:p>
      <w:pPr>
        <w:spacing w:before="60" w:after="0"/>
      </w:pPr>
      <w:r>
        <w:rPr>
          <w:rFonts w:ascii="Times New Roman" w:cs="Times New Roman" w:eastAsia="Times New Roman" w:hAnsi="Times New Roman"/>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2E4A" w:sz="8"/>
              <w:left w:val="thick" w:color="1A2E4A" w:sz="28"/>
              <w:bottom w:val="single" w:color="CCCCCC" w:sz="2"/>
              <w:right w:val="none" w:color="FFFFFF" w:sz="0"/>
            </w:tcBorders>
            <w:shd w:fill="F0F4FA" w:val="clear"/>
            <w:tcMar>
              <w:top w:type="dxa" w:w="120"/>
              <w:left w:type="dxa" w:w="200"/>
              <w:bottom w:type="dxa" w:w="120"/>
              <w:right w:type="dxa" w:w="180"/>
            </w:tcMar>
          </w:tcPr>
          <w:p>
            <w:pPr>
              <w:spacing w:before="0" w:after="0" w:line="280"/>
              <w:jc w:val="both"/>
            </w:pPr>
            <w:r>
              <w:rPr>
                <w:rFonts w:ascii="Times New Roman" w:cs="Times New Roman" w:eastAsia="Times New Roman" w:hAnsi="Times New Roman"/>
                <w:i/>
                <w:iCs/>
                <w:color w:val="222222"/>
                <w:sz w:val="22"/>
                <w:szCs w:val="22"/>
              </w:rPr>
              <w:t xml:space="preserve">Theorem: Under the adaptive evaluation framework, Normal ≻ Off ≻ Inverted on { AUC_synth, Δh, NCA }. This ranking is causal — it measures the quality of structure being built, not the memory of structure given. Foam inflation is structurally impossible by construction.</w:t>
            </w:r>
          </w:p>
        </w:tc>
      </w:tr>
    </w:tbl>
    <w:p>
      <w:pPr>
        <w:pStyle w:val="Heading1"/>
        <w:pBdr>
          <w:bottom w:val="single" w:color="1A2E4A" w:sz="6" w:space="3"/>
        </w:pBdr>
        <w:spacing w:before="360" w:after="120"/>
      </w:pPr>
      <w:r>
        <w:rPr>
          <w:rFonts w:ascii="Arial" w:cs="Arial" w:eastAsia="Arial" w:hAnsi="Arial"/>
          <w:b/>
          <w:bCs/>
          <w:color w:val="1A2E4A"/>
          <w:sz w:val="26"/>
          <w:szCs w:val="26"/>
        </w:rPr>
        <w:t xml:space="preserve">7. The General Principle</w:t>
      </w:r>
    </w:p>
    <w:p>
      <w:pPr>
        <w:spacing w:before="80" w:after="100" w:line="276"/>
        <w:jc w:val="both"/>
      </w:pPr>
      <w:r>
        <w:rPr>
          <w:rFonts w:ascii="Times New Roman" w:cs="Times New Roman" w:eastAsia="Times New Roman" w:hAnsi="Times New Roman"/>
          <w:b/>
          <w:bCs/>
          <w:i w:val="false"/>
          <w:iCs w:val="false"/>
          <w:color w:val="000000"/>
          <w:sz w:val="22"/>
          <w:szCs w:val="22"/>
        </w:rPr>
        <w:t xml:space="preserve">Adaptive Penalty Theorem (informal): </w:t>
      </w:r>
      <w:r>
        <w:rPr>
          <w:rFonts w:ascii="Times New Roman" w:cs="Times New Roman" w:eastAsia="Times New Roman" w:hAnsi="Times New Roman"/>
          <w:b w:val="false"/>
          <w:bCs w:val="false"/>
          <w:i w:val="false"/>
          <w:iCs w:val="false"/>
          <w:color w:val="000000"/>
          <w:sz w:val="22"/>
          <w:szCs w:val="22"/>
        </w:rPr>
        <w:t xml:space="preserve">Any evaluation metric that measures a system’s fidelity to a static ground truth will systematically underestimate — and may invert the ranking of — systems that learn by restructuring. The degree of underestimation is proportional to the system’s learning rate.</w:t>
      </w:r>
    </w:p>
    <w:p>
      <w:pPr>
        <w:spacing w:before="80" w:after="0"/>
      </w:pPr>
      <w:r>
        <w:rPr>
          <w:rFonts w:ascii="Times New Roman" w:cs="Times New Roman" w:eastAsia="Times New Roman" w:hAnsi="Times New Roman"/>
          <w:b w:val="false"/>
          <w:bCs w:val="false"/>
          <w:i w:val="false"/>
          <w:iCs w:val="false"/>
          <w:color w:val="000000"/>
          <w:sz w:val="22"/>
          <w:szCs w:val="22"/>
        </w:rPr>
        <w:t xml:space="preserve"/>
      </w:r>
    </w:p>
    <w:p>
      <w:pPr>
        <w:spacing w:before="80" w:after="100" w:line="276"/>
        <w:jc w:val="both"/>
      </w:pPr>
      <w:r>
        <w:rPr>
          <w:rFonts w:ascii="Times New Roman" w:cs="Times New Roman" w:eastAsia="Times New Roman" w:hAnsi="Times New Roman"/>
          <w:b w:val="false"/>
          <w:bCs w:val="false"/>
          <w:i w:val="false"/>
          <w:iCs w:val="false"/>
          <w:color w:val="000000"/>
          <w:sz w:val="22"/>
          <w:szCs w:val="22"/>
        </w:rPr>
        <w:t xml:space="preserve">More formally: let M</w:t>
      </w:r>
      <w:r>
        <w:rPr>
          <w:rFonts w:ascii="Times New Roman" w:cs="Times New Roman" w:eastAsia="Times New Roman" w:hAnsi="Times New Roman"/>
          <w:sz w:val="22"/>
          <w:szCs w:val="22"/>
          <w:vertAlign w:val="subscript"/>
        </w:rPr>
        <w:t xml:space="preserve">static</w:t>
      </w:r>
      <w:r>
        <w:rPr>
          <w:rFonts w:ascii="Times New Roman" w:cs="Times New Roman" w:eastAsia="Times New Roman" w:hAnsi="Times New Roman"/>
          <w:b w:val="false"/>
          <w:bCs w:val="false"/>
          <w:i w:val="false"/>
          <w:iCs w:val="false"/>
          <w:color w:val="000000"/>
          <w:sz w:val="22"/>
          <w:szCs w:val="22"/>
        </w:rPr>
        <w:t xml:space="preserve"> be any metric defined over a fixed test split T₀ = (E</w:t>
      </w:r>
      <w:r>
        <w:rPr>
          <w:rFonts w:ascii="Times New Roman" w:cs="Times New Roman" w:eastAsia="Times New Roman" w:hAnsi="Times New Roman"/>
          <w:sz w:val="22"/>
          <w:szCs w:val="22"/>
          <w:vertAlign w:val="subscript"/>
        </w:rPr>
        <w:t xml:space="preserve">test</w:t>
      </w:r>
      <w:r>
        <w:rPr>
          <w:rFonts w:ascii="Times New Roman" w:cs="Times New Roman" w:eastAsia="Times New Roman" w:hAnsi="Times New Roman"/>
          <w:b w:val="false"/>
          <w:bCs w:val="false"/>
          <w:i w:val="false"/>
          <w:iCs w:val="false"/>
          <w:color w:val="000000"/>
          <w:sz w:val="22"/>
          <w:szCs w:val="22"/>
        </w:rPr>
        <w:t xml:space="preserve">, V₀). Let S be a generative system that modifies V and E over time. Then there exist operational modes of S such that:</w:t>
      </w:r>
    </w:p>
    <w:p>
      <w:pPr>
        <w:spacing w:before="140" w:after="140"/>
        <w:jc w:val="center"/>
      </w:pPr>
      <w:r>
        <w:rPr>
          <w:rFonts w:ascii="Courier New" w:cs="Courier New" w:eastAsia="Courier New" w:hAnsi="Courier New"/>
          <w:color w:val="1A2E4A"/>
          <w:sz w:val="22"/>
          <w:szCs w:val="22"/>
        </w:rPr>
        <w:t xml:space="preserve">∂ M_static(S_t) / ∂ ‖S_t - S_0‖  &lt;  0</w:t>
      </w:r>
    </w:p>
    <w:p>
      <w:pPr>
        <w:spacing w:before="80" w:after="100" w:line="276"/>
        <w:jc w:val="both"/>
      </w:pPr>
      <w:r>
        <w:rPr>
          <w:rFonts w:ascii="Times New Roman" w:cs="Times New Roman" w:eastAsia="Times New Roman" w:hAnsi="Times New Roman"/>
          <w:b w:val="false"/>
          <w:bCs w:val="false"/>
          <w:i w:val="false"/>
          <w:iCs w:val="false"/>
          <w:color w:val="000000"/>
          <w:sz w:val="22"/>
          <w:szCs w:val="22"/>
        </w:rPr>
        <w:t xml:space="preserve">This applies to: continual learning GNNs; knowledge graph completion with active entity generation; recommendation systems with dynamic embeddings; any system where the embedding space is non-stationary.</w:t>
      </w:r>
    </w:p>
    <w:p>
      <w:pPr>
        <w:pStyle w:val="Heading2"/>
        <w:spacing w:before="240" w:after="80"/>
      </w:pPr>
      <w:r>
        <w:rPr>
          <w:rFonts w:ascii="Arial" w:cs="Arial" w:eastAsia="Arial" w:hAnsi="Arial"/>
          <w:b/>
          <w:bCs/>
          <w:color w:val="1A2E4A"/>
          <w:sz w:val="23"/>
          <w:szCs w:val="23"/>
        </w:rPr>
        <w:t xml:space="preserve">7.1 TGC as an Order Parameter</w:t>
      </w:r>
    </w:p>
    <w:p>
      <w:pPr>
        <w:spacing w:before="80" w:after="100" w:line="276"/>
        <w:jc w:val="both"/>
      </w:pPr>
      <w:r>
        <w:rPr>
          <w:rFonts w:ascii="Times New Roman" w:cs="Times New Roman" w:eastAsia="Times New Roman" w:hAnsi="Times New Roman"/>
          <w:b w:val="false"/>
          <w:bCs w:val="false"/>
          <w:i w:val="false"/>
          <w:iCs w:val="false"/>
          <w:color w:val="000000"/>
          <w:sz w:val="22"/>
          <w:szCs w:val="22"/>
        </w:rPr>
        <w:t xml:space="preserve">The empirical result r(TGC, AUC) &gt; 0.84 across all conditions establishes TGC as more than a monitoring metric. Its behavior resembles an </w:t>
      </w:r>
      <w:r>
        <w:rPr>
          <w:rFonts w:ascii="Times New Roman" w:cs="Times New Roman" w:eastAsia="Times New Roman" w:hAnsi="Times New Roman"/>
          <w:b/>
          <w:bCs/>
          <w:i w:val="false"/>
          <w:iCs w:val="false"/>
          <w:color w:val="000000"/>
          <w:sz w:val="22"/>
          <w:szCs w:val="22"/>
        </w:rPr>
        <w:t xml:space="preserve">order parameter</w:t>
      </w:r>
      <w:r>
        <w:rPr>
          <w:rFonts w:ascii="Times New Roman" w:cs="Times New Roman" w:eastAsia="Times New Roman" w:hAnsi="Times New Roman"/>
          <w:b w:val="false"/>
          <w:bCs w:val="false"/>
          <w:i w:val="false"/>
          <w:iCs w:val="false"/>
          <w:color w:val="000000"/>
          <w:sz w:val="22"/>
          <w:szCs w:val="22"/>
        </w:rPr>
        <w:t xml:space="preserve"> in the statistical mechanics sense: a quantity characterizing the macroscopic state of the system independently of how that state was reached. The anchoring policy is the microscopic control parameter. TGC is the macroscopic response. AUC is the observable.</w:t>
      </w:r>
    </w:p>
    <w:p>
      <w:pPr>
        <w:spacing w:before="80" w:after="100" w:line="276"/>
        <w:jc w:val="both"/>
      </w:pPr>
      <w:r>
        <w:rPr>
          <w:rFonts w:ascii="Times New Roman" w:cs="Times New Roman" w:eastAsia="Times New Roman" w:hAnsi="Times New Roman"/>
          <w:b w:val="false"/>
          <w:bCs w:val="false"/>
          <w:i w:val="false"/>
          <w:iCs w:val="false"/>
          <w:color w:val="000000"/>
          <w:sz w:val="22"/>
          <w:szCs w:val="22"/>
        </w:rPr>
        <w:t xml:space="preserve">The relationship ∂AUC/∂TGC &gt; 0 persists across all three policy regimes — it is a property of the system’s thermodynamics, not an artifact of the anchoring policy. Given TGC, inferential performance is predictable without knowing the operational mode.</w:t>
      </w:r>
    </w:p>
    <w:p>
      <w:pPr>
        <w:pStyle w:val="Heading2"/>
        <w:spacing w:before="240" w:after="80"/>
      </w:pPr>
      <w:r>
        <w:rPr>
          <w:rFonts w:ascii="Arial" w:cs="Arial" w:eastAsia="Arial" w:hAnsi="Arial"/>
          <w:b/>
          <w:bCs/>
          <w:color w:val="1A2E4A"/>
          <w:sz w:val="23"/>
          <w:szCs w:val="23"/>
        </w:rPr>
        <w:t xml:space="preserve">7.2 Implications for AI Evaluation</w:t>
      </w:r>
    </w:p>
    <w:p>
      <w:pPr>
        <w:spacing w:before="80" w:after="100" w:line="276"/>
        <w:jc w:val="both"/>
      </w:pPr>
      <w:r>
        <w:rPr>
          <w:rFonts w:ascii="Times New Roman" w:cs="Times New Roman" w:eastAsia="Times New Roman" w:hAnsi="Times New Roman"/>
          <w:b w:val="false"/>
          <w:bCs w:val="false"/>
          <w:i w:val="false"/>
          <w:iCs w:val="false"/>
          <w:color w:val="000000"/>
          <w:sz w:val="22"/>
          <w:szCs w:val="22"/>
        </w:rPr>
        <w:t xml:space="preserve">The standard ML pipeline assumes: better system ⇒ higher benchmark score. Our results demonstrate a class of systems for which: more intelligent system ⇒ lower benchmark score. This is not a pathological edge case. It is the expected behavior of any generative system evaluated with static tools.</w:t>
      </w:r>
    </w:p>
    <w:p>
      <w:pPr>
        <w:spacing w:before="60" w:after="0"/>
      </w:pPr>
      <w:r>
        <w:rPr>
          <w:rFonts w:ascii="Times New Roman" w:cs="Times New Roman" w:eastAsia="Times New Roman" w:hAnsi="Times New Roman"/>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A017" w:sz="8"/>
              <w:left w:val="thick" w:color="D4A017" w:sz="28"/>
              <w:bottom w:val="single" w:color="CCCCCC" w:sz="2"/>
              <w:right w:val="none" w:color="FFFFFF" w:sz="0"/>
            </w:tcBorders>
            <w:shd w:fill="FFF8E7" w:val="clear"/>
            <w:tcMar>
              <w:top w:type="dxa" w:w="120"/>
              <w:left w:type="dxa" w:w="200"/>
              <w:bottom w:type="dxa" w:w="120"/>
              <w:right w:type="dxa" w:w="180"/>
            </w:tcMar>
          </w:tcPr>
          <w:p>
            <w:pPr>
              <w:spacing w:before="0" w:after="0" w:line="280"/>
              <w:jc w:val="both"/>
            </w:pPr>
            <w:r>
              <w:rPr>
                <w:rFonts w:ascii="Times New Roman" w:cs="Times New Roman" w:eastAsia="Times New Roman" w:hAnsi="Times New Roman"/>
                <w:i/>
                <w:iCs/>
                <w:color w:val="222222"/>
                <w:sz w:val="22"/>
                <w:szCs w:val="22"/>
              </w:rPr>
              <w:t xml:space="preserve">A significant fraction of generative AI systems in the literature may be systematically misranked — with the most cognitively active variants appearing worst on standard benchmarks.</w:t>
            </w:r>
          </w:p>
        </w:tc>
      </w:tr>
    </w:tbl>
    <w:p>
      <w:pPr>
        <w:pStyle w:val="Heading1"/>
        <w:pBdr>
          <w:bottom w:val="single" w:color="1A2E4A" w:sz="6" w:space="3"/>
        </w:pBdr>
        <w:spacing w:before="360" w:after="120"/>
      </w:pPr>
      <w:r>
        <w:rPr>
          <w:rFonts w:ascii="Arial" w:cs="Arial" w:eastAsia="Arial" w:hAnsi="Arial"/>
          <w:b/>
          <w:bCs/>
          <w:color w:val="1A2E4A"/>
          <w:sz w:val="26"/>
          <w:szCs w:val="26"/>
        </w:rPr>
        <w:t xml:space="preserve">8. Discussion</w:t>
      </w:r>
    </w:p>
    <w:p>
      <w:pPr>
        <w:pStyle w:val="Heading2"/>
        <w:spacing w:before="240" w:after="80"/>
      </w:pPr>
      <w:r>
        <w:rPr>
          <w:rFonts w:ascii="Arial" w:cs="Arial" w:eastAsia="Arial" w:hAnsi="Arial"/>
          <w:b/>
          <w:bCs/>
          <w:color w:val="1A2E4A"/>
          <w:sz w:val="23"/>
          <w:szCs w:val="23"/>
        </w:rPr>
        <w:t xml:space="preserve">8.1 Relationship to Neuroplasticity</w:t>
      </w:r>
    </w:p>
    <w:p>
      <w:pPr>
        <w:spacing w:before="80" w:after="100" w:line="276"/>
        <w:jc w:val="both"/>
      </w:pPr>
      <w:r>
        <w:rPr>
          <w:rFonts w:ascii="Times New Roman" w:cs="Times New Roman" w:eastAsia="Times New Roman" w:hAnsi="Times New Roman"/>
          <w:b w:val="false"/>
          <w:bCs w:val="false"/>
          <w:i w:val="false"/>
          <w:iCs w:val="false"/>
          <w:color w:val="000000"/>
          <w:sz w:val="22"/>
          <w:szCs w:val="22"/>
        </w:rPr>
        <w:t xml:space="preserve">The analogy to biological neuroplasticity is not rhetorical. In neural systems, synaptic reorganization produces short-term performance degradation on previously acquired tasks — the stability-plasticity dilemma [Abraham &amp; Robins, 2005]. NietzscheDB’s behavior is the graph-computational analog: the system degrades on the </w:t>
      </w:r>
      <w:r>
        <w:rPr>
          <w:rFonts w:ascii="Times New Roman" w:cs="Times New Roman" w:eastAsia="Times New Roman" w:hAnsi="Times New Roman"/>
          <w:b w:val="false"/>
          <w:bCs w:val="false"/>
          <w:i/>
          <w:iCs/>
          <w:color w:val="000000"/>
          <w:sz w:val="22"/>
          <w:szCs w:val="22"/>
        </w:rPr>
        <w:t xml:space="preserve">old</w:t>
      </w:r>
      <w:r>
        <w:rPr>
          <w:rFonts w:ascii="Times New Roman" w:cs="Times New Roman" w:eastAsia="Times New Roman" w:hAnsi="Times New Roman"/>
          <w:b w:val="false"/>
          <w:bCs w:val="false"/>
          <w:i w:val="false"/>
          <w:iCs w:val="false"/>
          <w:color w:val="000000"/>
          <w:sz w:val="22"/>
          <w:szCs w:val="22"/>
        </w:rPr>
        <w:t xml:space="preserve"> benchmark precisely because it is building new structure. The degradation is the signature of learning, not its failure.</w:t>
      </w:r>
    </w:p>
    <w:p>
      <w:pPr>
        <w:pStyle w:val="Heading2"/>
        <w:spacing w:before="240" w:after="80"/>
      </w:pPr>
      <w:r>
        <w:rPr>
          <w:rFonts w:ascii="Arial" w:cs="Arial" w:eastAsia="Arial" w:hAnsi="Arial"/>
          <w:b/>
          <w:bCs/>
          <w:color w:val="1A2E4A"/>
          <w:sz w:val="23"/>
          <w:szCs w:val="23"/>
        </w:rPr>
        <w:t xml:space="preserve">8.2 Limitations</w:t>
      </w:r>
    </w:p>
    <w:p>
      <w:pPr>
        <w:spacing w:before="80" w:after="100" w:line="276"/>
        <w:jc w:val="both"/>
      </w:pPr>
      <w:r>
        <w:rPr>
          <w:rFonts w:ascii="Times New Roman" w:cs="Times New Roman" w:eastAsia="Times New Roman" w:hAnsi="Times New Roman"/>
          <w:b w:val="false"/>
          <w:bCs w:val="false"/>
          <w:i w:val="false"/>
          <w:iCs w:val="false"/>
          <w:color w:val="000000"/>
          <w:sz w:val="22"/>
          <w:szCs w:val="22"/>
        </w:rPr>
        <w:t xml:space="preserve">The current empirical validation is limited to the Cora dataset and a specific GNN architecture. Generality across datasets, architectures, and geometric spaces requires further investigation. The corrective metrics assume node label availability for homophily and NCA computations, limiting applicability to labeled graph domains.</w:t>
      </w:r>
    </w:p>
    <w:p>
      <w:pPr>
        <w:pStyle w:val="Heading2"/>
        <w:spacing w:before="240" w:after="80"/>
      </w:pPr>
      <w:r>
        <w:rPr>
          <w:rFonts w:ascii="Arial" w:cs="Arial" w:eastAsia="Arial" w:hAnsi="Arial"/>
          <w:b/>
          <w:bCs/>
          <w:color w:val="1A2E4A"/>
          <w:sz w:val="23"/>
          <w:szCs w:val="23"/>
        </w:rPr>
        <w:t xml:space="preserve">8.3 Open Questions</w:t>
      </w:r>
    </w:p>
    <w:p>
      <w:pPr>
        <w:spacing w:before="80" w:after="100" w:line="276"/>
        <w:jc w:val="both"/>
      </w:pPr>
      <w:r>
        <w:rPr>
          <w:rFonts w:ascii="Times New Roman" w:cs="Times New Roman" w:eastAsia="Times New Roman" w:hAnsi="Times New Roman"/>
          <w:b w:val="false"/>
          <w:bCs w:val="false"/>
          <w:i w:val="false"/>
          <w:iCs w:val="false"/>
          <w:color w:val="000000"/>
          <w:sz w:val="22"/>
          <w:szCs w:val="22"/>
        </w:rPr>
        <w:t xml:space="preserve">The most important open question is whether the corrective evaluation framework changes published rankings in existing dynamic graph literature. We conjecture that many systems reported as inferior to static baselines exhibit the Adaptive Penalty pattern. A systematic re-evaluation of dynamic graph benchmarks using the metrics introduced here is a natural extension of this work.</w:t>
      </w:r>
    </w:p>
    <w:p>
      <w:pPr>
        <w:pStyle w:val="Heading1"/>
        <w:pBdr>
          <w:bottom w:val="single" w:color="1A2E4A" w:sz="6" w:space="3"/>
        </w:pBdr>
        <w:spacing w:before="360" w:after="120"/>
      </w:pPr>
      <w:r>
        <w:rPr>
          <w:rFonts w:ascii="Arial" w:cs="Arial" w:eastAsia="Arial" w:hAnsi="Arial"/>
          <w:b/>
          <w:bCs/>
          <w:color w:val="1A2E4A"/>
          <w:sz w:val="26"/>
          <w:szCs w:val="26"/>
        </w:rPr>
        <w:t xml:space="preserve">9. Conclusion</w:t>
      </w:r>
    </w:p>
    <w:p>
      <w:pPr>
        <w:spacing w:before="80" w:after="100" w:line="276"/>
        <w:jc w:val="both"/>
      </w:pPr>
      <w:r>
        <w:rPr>
          <w:rFonts w:ascii="Times New Roman" w:cs="Times New Roman" w:eastAsia="Times New Roman" w:hAnsi="Times New Roman"/>
          <w:b w:val="false"/>
          <w:bCs w:val="false"/>
          <w:i w:val="false"/>
          <w:iCs w:val="false"/>
          <w:color w:val="000000"/>
          <w:sz w:val="22"/>
          <w:szCs w:val="22"/>
        </w:rPr>
        <w:t xml:space="preserve">We have identified, formalized, and empirically demonstrated a fundamental flaw in the evaluation of generative graph systems: the Adaptive Penalty Trap. Static benchmarks invert the true performance ranking of systems that learn by restructuring. The Topological Growth Coefficient (TGC) emerges as a </w:t>
      </w:r>
      <w:r>
        <w:rPr>
          <w:rFonts w:ascii="Times New Roman" w:cs="Times New Roman" w:eastAsia="Times New Roman" w:hAnsi="Times New Roman"/>
          <w:b/>
          <w:bCs/>
          <w:i w:val="false"/>
          <w:iCs w:val="false"/>
          <w:color w:val="000000"/>
          <w:sz w:val="22"/>
          <w:szCs w:val="22"/>
        </w:rPr>
        <w:t xml:space="preserve">universal order parameter</w:t>
      </w:r>
      <w:r>
        <w:rPr>
          <w:rFonts w:ascii="Times New Roman" w:cs="Times New Roman" w:eastAsia="Times New Roman" w:hAnsi="Times New Roman"/>
          <w:b w:val="false"/>
          <w:bCs w:val="false"/>
          <w:i w:val="false"/>
          <w:iCs w:val="false"/>
          <w:color w:val="000000"/>
          <w:sz w:val="22"/>
          <w:szCs w:val="22"/>
        </w:rPr>
        <w:t xml:space="preserve">: a quantity that tracks the causal relationship between structural expansion and inferential performance across all operational conditions, independently of anchoring policy (r &gt; 0.84, p &lt; 10⁻²⁷).</w:t>
      </w:r>
    </w:p>
    <w:p>
      <w:pPr>
        <w:spacing w:before="80" w:after="100" w:line="276"/>
        <w:jc w:val="both"/>
      </w:pPr>
      <w:r>
        <w:rPr>
          <w:rFonts w:ascii="Times New Roman" w:cs="Times New Roman" w:eastAsia="Times New Roman" w:hAnsi="Times New Roman"/>
          <w:b w:val="false"/>
          <w:bCs w:val="false"/>
          <w:i w:val="false"/>
          <w:iCs w:val="false"/>
          <w:color w:val="000000"/>
          <w:sz w:val="22"/>
          <w:szCs w:val="22"/>
        </w:rPr>
        <w:t xml:space="preserve">The corrective evaluation framework — Generative Coherence AUC, Homophily Delta, and NCA — restores the correct ordinal ranking and provides structural immunity to foam inflation artifacts.</w:t>
      </w:r>
    </w:p>
    <w:p>
      <w:pPr>
        <w:spacing w:before="80" w:after="100" w:line="276"/>
        <w:jc w:val="both"/>
      </w:pPr>
      <w:r>
        <w:rPr>
          <w:rFonts w:ascii="Times New Roman" w:cs="Times New Roman" w:eastAsia="Times New Roman" w:hAnsi="Times New Roman"/>
          <w:b w:val="false"/>
          <w:bCs w:val="false"/>
          <w:i w:val="false"/>
          <w:iCs w:val="false"/>
          <w:color w:val="000000"/>
          <w:sz w:val="22"/>
          <w:szCs w:val="22"/>
        </w:rPr>
        <w:t xml:space="preserve">The broader implication is unambiguous: as AI systems become more generative, more dynamic, and more self-organizing, the evaluation infrastructure must evolve with them. </w:t>
      </w:r>
      <w:r>
        <w:rPr>
          <w:rFonts w:ascii="Times New Roman" w:cs="Times New Roman" w:eastAsia="Times New Roman" w:hAnsi="Times New Roman"/>
          <w:b/>
          <w:bCs/>
          <w:i w:val="false"/>
          <w:iCs w:val="false"/>
          <w:color w:val="000000"/>
          <w:sz w:val="22"/>
          <w:szCs w:val="22"/>
        </w:rPr>
        <w:t xml:space="preserve">A system that appears to be failing may, in fact, be in the process of becoming more intelligent.</w:t>
      </w:r>
      <w:r>
        <w:rPr>
          <w:rFonts w:ascii="Times New Roman" w:cs="Times New Roman" w:eastAsia="Times New Roman" w:hAnsi="Times New Roman"/>
          <w:b w:val="false"/>
          <w:bCs w:val="false"/>
          <w:i w:val="false"/>
          <w:iCs w:val="false"/>
          <w:color w:val="000000"/>
          <w:sz w:val="22"/>
          <w:szCs w:val="22"/>
        </w:rPr>
        <w:t xml:space="preserve"> The ability to distinguish these two states is not a technical convenience — it is a prerequisite for the scientific validity of the field.</w:t>
      </w:r>
    </w:p>
    <w:p>
      <w:pPr>
        <w:pBdr>
          <w:bottom w:val="single" w:color="DDDDDD" w:sz="3" w:space="1"/>
        </w:pBdr>
        <w:spacing w:before="180" w:after="180"/>
      </w:pPr>
      <w:r>
        <w:rPr>
          <w:rFonts w:ascii="Times New Roman" w:cs="Times New Roman" w:eastAsia="Times New Roman" w:hAnsi="Times New Roman"/>
          <w:b w:val="false"/>
          <w:bCs w:val="false"/>
          <w:i w:val="false"/>
          <w:iCs w:val="false"/>
          <w:color w:val="000000"/>
          <w:sz w:val="22"/>
          <w:szCs w:val="22"/>
        </w:rPr>
        <w:t xml:space="preserve"/>
      </w:r>
    </w:p>
    <w:p>
      <w:pPr>
        <w:pStyle w:val="Heading1"/>
        <w:pBdr>
          <w:bottom w:val="single" w:color="1A2E4A" w:sz="6" w:space="3"/>
        </w:pBdr>
        <w:spacing w:before="360" w:after="120"/>
      </w:pPr>
      <w:r>
        <w:rPr>
          <w:rFonts w:ascii="Arial" w:cs="Arial" w:eastAsia="Arial" w:hAnsi="Arial"/>
          <w:b/>
          <w:bCs/>
          <w:color w:val="1A2E4A"/>
          <w:sz w:val="26"/>
          <w:szCs w:val="26"/>
        </w:rPr>
        <w:t xml:space="preserve">. References</w:t>
      </w:r>
    </w:p>
    <w:p>
      <w:pPr>
        <w:spacing w:before="40" w:after="60" w:line="265"/>
        <w:ind w:left="720" w:hanging="720"/>
      </w:pPr>
      <w:r>
        <w:rPr>
          <w:rFonts w:ascii="Times New Roman" w:cs="Times New Roman" w:eastAsia="Times New Roman" w:hAnsi="Times New Roman"/>
          <w:color w:val="333333"/>
          <w:sz w:val="20"/>
          <w:szCs w:val="20"/>
        </w:rPr>
        <w:t xml:space="preserve">Abraham, W. C., &amp; Robins, A. (2005). Memory retention — the synaptic stability versus plasticity dilemma. Trends in Neurosciences, 28(2), 73–78.</w:t>
      </w:r>
    </w:p>
    <w:p>
      <w:pPr>
        <w:spacing w:before="40" w:after="60" w:line="265"/>
        <w:ind w:left="720" w:hanging="720"/>
      </w:pPr>
      <w:r>
        <w:rPr>
          <w:rFonts w:ascii="Times New Roman" w:cs="Times New Roman" w:eastAsia="Times New Roman" w:hAnsi="Times New Roman"/>
          <w:color w:val="333333"/>
          <w:sz w:val="20"/>
          <w:szCs w:val="20"/>
        </w:rPr>
        <w:t xml:space="preserve">Chami, I., Ying, Z., Ré, C., &amp; Leskovec, J. (2019). Hyperbolic graph convolutional neural networks. NeurIPS 2019.</w:t>
      </w:r>
    </w:p>
    <w:p>
      <w:pPr>
        <w:spacing w:before="40" w:after="60" w:line="265"/>
        <w:ind w:left="720" w:hanging="720"/>
      </w:pPr>
      <w:r>
        <w:rPr>
          <w:rFonts w:ascii="Times New Roman" w:cs="Times New Roman" w:eastAsia="Times New Roman" w:hAnsi="Times New Roman"/>
          <w:color w:val="333333"/>
          <w:sz w:val="20"/>
          <w:szCs w:val="20"/>
        </w:rPr>
        <w:t xml:space="preserve">De Lange, M., et al. (2022). A continual learning survey: Defying forgetting in classification tasks. IEEE TPAMI, 44(7), 3366–3385.</w:t>
      </w:r>
    </w:p>
    <w:p>
      <w:pPr>
        <w:spacing w:before="40" w:after="60" w:line="265"/>
        <w:ind w:left="720" w:hanging="720"/>
      </w:pPr>
      <w:r>
        <w:rPr>
          <w:rFonts w:ascii="Times New Roman" w:cs="Times New Roman" w:eastAsia="Times New Roman" w:hAnsi="Times New Roman"/>
          <w:color w:val="333333"/>
          <w:sz w:val="20"/>
          <w:szCs w:val="20"/>
        </w:rPr>
        <w:t xml:space="preserve">Hamilton, W., Ying, Z., &amp; Leskovec, J. (2017). Inductive representation learning on large graphs. NeurIPS 2017.</w:t>
      </w:r>
    </w:p>
    <w:p>
      <w:pPr>
        <w:spacing w:before="40" w:after="60" w:line="265"/>
        <w:ind w:left="720" w:hanging="720"/>
      </w:pPr>
      <w:r>
        <w:rPr>
          <w:rFonts w:ascii="Times New Roman" w:cs="Times New Roman" w:eastAsia="Times New Roman" w:hAnsi="Times New Roman"/>
          <w:color w:val="333333"/>
          <w:sz w:val="20"/>
          <w:szCs w:val="20"/>
        </w:rPr>
        <w:t xml:space="preserve">Kazemi, S. M., et al. (2020). Representation learning for dynamic graphs: A survey. JMLR, 21(70), 1–73.</w:t>
      </w:r>
    </w:p>
    <w:p>
      <w:pPr>
        <w:spacing w:before="40" w:after="60" w:line="265"/>
        <w:ind w:left="720" w:hanging="720"/>
      </w:pPr>
      <w:r>
        <w:rPr>
          <w:rFonts w:ascii="Times New Roman" w:cs="Times New Roman" w:eastAsia="Times New Roman" w:hAnsi="Times New Roman"/>
          <w:color w:val="333333"/>
          <w:sz w:val="20"/>
          <w:szCs w:val="20"/>
        </w:rPr>
        <w:t xml:space="preserve">Kipf, T. N., &amp; Welling, M. (2017). Semi-supervised classification with graph convolutional networks. ICLR 2017.</w:t>
      </w:r>
    </w:p>
    <w:p>
      <w:pPr>
        <w:spacing w:before="40" w:after="60" w:line="265"/>
        <w:ind w:left="720" w:hanging="720"/>
      </w:pPr>
      <w:r>
        <w:rPr>
          <w:rFonts w:ascii="Times New Roman" w:cs="Times New Roman" w:eastAsia="Times New Roman" w:hAnsi="Times New Roman"/>
          <w:color w:val="333333"/>
          <w:sz w:val="20"/>
          <w:szCs w:val="20"/>
        </w:rPr>
        <w:t xml:space="preserve">Nickel, M., &amp; Kiela, D. (2017). Poincaré embeddings for learning hierarchical representations. NeurIPS 2017.</w:t>
      </w:r>
    </w:p>
    <w:p>
      <w:pPr>
        <w:spacing w:before="40" w:after="60" w:line="265"/>
        <w:ind w:left="720" w:hanging="720"/>
      </w:pPr>
      <w:r>
        <w:rPr>
          <w:rFonts w:ascii="Times New Roman" w:cs="Times New Roman" w:eastAsia="Times New Roman" w:hAnsi="Times New Roman"/>
          <w:color w:val="333333"/>
          <w:sz w:val="20"/>
          <w:szCs w:val="20"/>
        </w:rPr>
        <w:t xml:space="preserve">Parisi, G. I., et al. (2019). Continual lifelong learning with neural networks: A review. Neural Networks, 113, 54–71.</w:t>
      </w:r>
    </w:p>
    <w:p>
      <w:pPr>
        <w:spacing w:before="40" w:after="60" w:line="265"/>
        <w:ind w:left="720" w:hanging="720"/>
      </w:pPr>
      <w:r>
        <w:rPr>
          <w:rFonts w:ascii="Times New Roman" w:cs="Times New Roman" w:eastAsia="Times New Roman" w:hAnsi="Times New Roman"/>
          <w:color w:val="333333"/>
          <w:sz w:val="20"/>
          <w:szCs w:val="20"/>
        </w:rPr>
        <w:t xml:space="preserve">Rossi, E., et al. (2020). Temporal graph networks for deep learning on dynamic graphs. ICML 2020 Workshop.</w:t>
      </w:r>
    </w:p>
    <w:p>
      <w:pPr>
        <w:spacing w:before="40" w:after="60" w:line="265"/>
        <w:ind w:left="720" w:hanging="720"/>
      </w:pPr>
      <w:r>
        <w:rPr>
          <w:rFonts w:ascii="Times New Roman" w:cs="Times New Roman" w:eastAsia="Times New Roman" w:hAnsi="Times New Roman"/>
          <w:color w:val="333333"/>
          <w:sz w:val="20"/>
          <w:szCs w:val="20"/>
        </w:rPr>
        <w:t xml:space="preserve">Zhang, M., &amp; Chen, Y. (2018). Link prediction based on graph neural networks. NeurIPS 2018.</w:t>
      </w:r>
    </w:p>
    <w:p>
      <w:pPr>
        <w:pBdr>
          <w:bottom w:val="single" w:color="DDDDDD" w:sz="3" w:space="1"/>
        </w:pBdr>
        <w:spacing w:before="180" w:after="180"/>
      </w:pPr>
      <w:r>
        <w:rPr>
          <w:rFonts w:ascii="Times New Roman" w:cs="Times New Roman" w:eastAsia="Times New Roman" w:hAnsi="Times New Roman"/>
          <w:b w:val="false"/>
          <w:bCs w:val="false"/>
          <w:i w:val="false"/>
          <w:iCs w:val="false"/>
          <w:color w:val="000000"/>
          <w:sz w:val="22"/>
          <w:szCs w:val="22"/>
        </w:rPr>
        <w:t xml:space="preserve"/>
      </w:r>
    </w:p>
    <w:p>
      <w:pPr>
        <w:spacing w:before="240" w:after="80"/>
      </w:pPr>
      <w:r>
        <w:rPr>
          <w:rFonts w:ascii="Arial" w:cs="Arial" w:eastAsia="Arial" w:hAnsi="Arial"/>
          <w:b/>
          <w:bCs/>
          <w:color w:val="1A2E4A"/>
          <w:sz w:val="24"/>
          <w:szCs w:val="24"/>
        </w:rPr>
        <w:t xml:space="preserve">Appendix A: Proof of Foam Inflation Monotonicity</w:t>
      </w:r>
    </w:p>
    <w:p>
      <w:pPr>
        <w:spacing w:before="80" w:after="100" w:line="276"/>
        <w:jc w:val="both"/>
      </w:pPr>
      <w:r>
        <w:rPr>
          <w:rFonts w:ascii="Times New Roman" w:cs="Times New Roman" w:eastAsia="Times New Roman" w:hAnsi="Times New Roman"/>
          <w:b/>
          <w:bCs/>
          <w:i w:val="false"/>
          <w:iCs w:val="false"/>
          <w:color w:val="000000"/>
          <w:sz w:val="22"/>
          <w:szCs w:val="22"/>
        </w:rPr>
        <w:t xml:space="preserve">Proposition: </w:t>
      </w:r>
      <w:r>
        <w:rPr>
          <w:rFonts w:ascii="Times New Roman" w:cs="Times New Roman" w:eastAsia="Times New Roman" w:hAnsi="Times New Roman"/>
          <w:b w:val="false"/>
          <w:bCs w:val="false"/>
          <w:i w:val="false"/>
          <w:iCs w:val="false"/>
          <w:color w:val="000000"/>
          <w:sz w:val="22"/>
          <w:szCs w:val="22"/>
        </w:rPr>
        <w:t xml:space="preserve">Under standard negative sampling, AUC</w:t>
      </w:r>
      <w:r>
        <w:rPr>
          <w:rFonts w:ascii="Times New Roman" w:cs="Times New Roman" w:eastAsia="Times New Roman" w:hAnsi="Times New Roman"/>
          <w:sz w:val="22"/>
          <w:szCs w:val="22"/>
          <w:vertAlign w:val="subscript"/>
        </w:rPr>
        <w:t xml:space="preserve">static</w:t>
      </w:r>
      <w:r>
        <w:rPr>
          <w:rFonts w:ascii="Times New Roman" w:cs="Times New Roman" w:eastAsia="Times New Roman" w:hAnsi="Times New Roman"/>
          <w:b w:val="false"/>
          <w:bCs w:val="false"/>
          <w:i w:val="false"/>
          <w:iCs w:val="false"/>
          <w:color w:val="000000"/>
          <w:sz w:val="22"/>
          <w:szCs w:val="22"/>
        </w:rPr>
        <w:t xml:space="preserve"> is monotonically increasing in the proportion of foam nodes in the negative sample pool π</w:t>
      </w:r>
      <w:r>
        <w:rPr>
          <w:rFonts w:ascii="Times New Roman" w:cs="Times New Roman" w:eastAsia="Times New Roman" w:hAnsi="Times New Roman"/>
          <w:sz w:val="22"/>
          <w:szCs w:val="22"/>
          <w:vertAlign w:val="subscript"/>
        </w:rPr>
        <w:t xml:space="preserve">foam</w:t>
      </w:r>
      <w:r>
        <w:rPr>
          <w:rFonts w:ascii="Times New Roman" w:cs="Times New Roman" w:eastAsia="Times New Roman" w:hAnsi="Times New Roman"/>
          <w:b w:val="false"/>
          <w:bCs w:val="false"/>
          <w:i w:val="false"/>
          <w:iCs w:val="false"/>
          <w:color w:val="000000"/>
          <w:sz w:val="22"/>
          <w:szCs w:val="22"/>
        </w:rPr>
        <w:t xml:space="preserve">.</w:t>
      </w:r>
    </w:p>
    <w:p>
      <w:pPr>
        <w:spacing w:before="80" w:after="100" w:line="276"/>
        <w:jc w:val="both"/>
      </w:pPr>
      <w:r>
        <w:rPr>
          <w:rFonts w:ascii="Times New Roman" w:cs="Times New Roman" w:eastAsia="Times New Roman" w:hAnsi="Times New Roman"/>
          <w:b/>
          <w:bCs/>
          <w:i w:val="false"/>
          <w:iCs w:val="false"/>
          <w:color w:val="000000"/>
          <w:sz w:val="22"/>
          <w:szCs w:val="22"/>
        </w:rPr>
        <w:t xml:space="preserve">Proof sketch: </w:t>
      </w:r>
      <w:r>
        <w:rPr>
          <w:rFonts w:ascii="Times New Roman" w:cs="Times New Roman" w:eastAsia="Times New Roman" w:hAnsi="Times New Roman"/>
          <w:b w:val="false"/>
          <w:bCs w:val="false"/>
          <w:i w:val="false"/>
          <w:iCs w:val="false"/>
          <w:color w:val="000000"/>
          <w:sz w:val="22"/>
          <w:szCs w:val="22"/>
        </w:rPr>
        <w:t xml:space="preserve">For any foam node f with ‖f‖ ≥ 1 - ε:</w:t>
      </w:r>
    </w:p>
    <w:p>
      <w:pPr>
        <w:spacing w:before="140" w:after="140"/>
        <w:jc w:val="center"/>
      </w:pPr>
      <w:r>
        <w:rPr>
          <w:rFonts w:ascii="Courier New" w:cs="Courier New" w:eastAsia="Courier New" w:hAnsi="Courier New"/>
          <w:color w:val="1A2E4A"/>
          <w:sz w:val="22"/>
          <w:szCs w:val="22"/>
        </w:rPr>
        <w:t xml:space="preserve">s(f,c) = σ(-d_H(f,c)/τ) ≤ σ(-arccosh(1/ε)/τ)  →  0  as ε → 0</w:t>
      </w:r>
    </w:p>
    <w:p>
      <w:pPr>
        <w:spacing w:before="80" w:after="100" w:line="276"/>
        <w:jc w:val="both"/>
      </w:pPr>
      <w:r>
        <w:rPr>
          <w:rFonts w:ascii="Times New Roman" w:cs="Times New Roman" w:eastAsia="Times New Roman" w:hAnsi="Times New Roman"/>
          <w:b w:val="false"/>
          <w:bCs w:val="false"/>
          <w:i w:val="false"/>
          <w:iCs w:val="false"/>
          <w:color w:val="000000"/>
          <w:sz w:val="22"/>
          <w:szCs w:val="22"/>
        </w:rPr>
        <w:t xml:space="preserve">Since all positive scores s(u,v) &gt; δ &gt; 0 for edges within V</w:t>
      </w:r>
      <w:r>
        <w:rPr>
          <w:rFonts w:ascii="Times New Roman" w:cs="Times New Roman" w:eastAsia="Times New Roman" w:hAnsi="Times New Roman"/>
          <w:sz w:val="22"/>
          <w:szCs w:val="22"/>
          <w:vertAlign w:val="subscript"/>
        </w:rPr>
        <w:t xml:space="preserve">Cora</w:t>
      </w:r>
      <w:r>
        <w:rPr>
          <w:rFonts w:ascii="Times New Roman" w:cs="Times New Roman" w:eastAsia="Times New Roman" w:hAnsi="Times New Roman"/>
          <w:b w:val="false"/>
          <w:bCs w:val="false"/>
          <w:i w:val="false"/>
          <w:iCs w:val="false"/>
          <w:color w:val="000000"/>
          <w:sz w:val="22"/>
          <w:szCs w:val="22"/>
        </w:rPr>
        <w:t xml:space="preserve">, any negative sample replaced by a foam node strictly increases the number of correctly ranked (+,-) pairs, hence strictly increases AUC. ■</w:t>
      </w:r>
    </w:p>
    <w:p>
      <w:pPr>
        <w:spacing w:before="160" w:after="0"/>
      </w:pPr>
      <w:r>
        <w:rPr>
          <w:rFonts w:ascii="Times New Roman" w:cs="Times New Roman" w:eastAsia="Times New Roman" w:hAnsi="Times New Roman"/>
          <w:b w:val="false"/>
          <w:bCs w:val="false"/>
          <w:i w:val="false"/>
          <w:iCs w:val="false"/>
          <w:color w:val="000000"/>
          <w:sz w:val="22"/>
          <w:szCs w:val="22"/>
        </w:rPr>
        <w:t xml:space="preserve"/>
      </w:r>
    </w:p>
    <w:p>
      <w:pPr>
        <w:spacing w:before="120" w:after="80"/>
      </w:pPr>
      <w:r>
        <w:rPr>
          <w:rFonts w:ascii="Arial" w:cs="Arial" w:eastAsia="Arial" w:hAnsi="Arial"/>
          <w:b/>
          <w:bCs/>
          <w:color w:val="1A2E4A"/>
          <w:sz w:val="24"/>
          <w:szCs w:val="24"/>
        </w:rPr>
        <w:t xml:space="preserve">Appendix B: TGC Formal Definition</w:t>
      </w:r>
    </w:p>
    <w:p>
      <w:pPr>
        <w:spacing w:before="80" w:after="100" w:line="276"/>
        <w:jc w:val="both"/>
      </w:pPr>
      <w:r>
        <w:rPr>
          <w:rFonts w:ascii="Times New Roman" w:cs="Times New Roman" w:eastAsia="Times New Roman" w:hAnsi="Times New Roman"/>
          <w:b w:val="false"/>
          <w:bCs w:val="false"/>
          <w:i w:val="false"/>
          <w:iCs w:val="false"/>
          <w:color w:val="000000"/>
          <w:sz w:val="22"/>
          <w:szCs w:val="22"/>
        </w:rPr>
        <w:t xml:space="preserve">Let Gₜ = (Vₜ, Eₜ). Define:</w:t>
      </w:r>
    </w:p>
    <w:p>
      <w:pPr>
        <w:spacing w:before="140" w:after="140"/>
        <w:jc w:val="center"/>
      </w:pPr>
      <w:r>
        <w:rPr>
          <w:rFonts w:ascii="Courier New" w:cs="Courier New" w:eastAsia="Courier New" w:hAnsi="Courier New"/>
          <w:color w:val="1A2E4A"/>
          <w:sz w:val="22"/>
          <w:szCs w:val="22"/>
        </w:rPr>
        <w:t xml:space="preserve">TGC_t = (|E_t \ E_{t-1}| / |V_t|) · (|C_t^max| / |V_t|)</w:t>
      </w:r>
    </w:p>
    <w:p>
      <w:pPr>
        <w:spacing w:before="80" w:after="100" w:line="276"/>
        <w:jc w:val="both"/>
      </w:pPr>
      <w:r>
        <w:rPr>
          <w:rFonts w:ascii="Times New Roman" w:cs="Times New Roman" w:eastAsia="Times New Roman" w:hAnsi="Times New Roman"/>
          <w:b w:val="false"/>
          <w:bCs w:val="false"/>
          <w:i w:val="false"/>
          <w:iCs w:val="false"/>
          <w:color w:val="000000"/>
          <w:sz w:val="22"/>
          <w:szCs w:val="22"/>
        </w:rPr>
        <w:t xml:space="preserve">where |C</w:t>
      </w:r>
      <w:r>
        <w:rPr>
          <w:rFonts w:ascii="Times New Roman" w:cs="Times New Roman" w:eastAsia="Times New Roman" w:hAnsi="Times New Roman"/>
          <w:sz w:val="22"/>
          <w:szCs w:val="22"/>
          <w:vertAlign w:val="superscript"/>
        </w:rPr>
        <w:t xml:space="preserve">t</w:t>
      </w:r>
      <w:r>
        <w:rPr>
          <w:rFonts w:ascii="Times New Roman" w:cs="Times New Roman" w:eastAsia="Times New Roman" w:hAnsi="Times New Roman"/>
          <w:b w:val="false"/>
          <w:bCs w:val="false"/>
          <w:i w:val="false"/>
          <w:iCs w:val="false"/>
          <w:color w:val="000000"/>
          <w:sz w:val="22"/>
          <w:szCs w:val="22"/>
        </w:rPr>
        <w:t xml:space="preserve">ᵐᵃˣ| is the largest connected component size. The second factor penalizes foam: isolated nodes reduce TGC regardless of edge count. EMA: ̃TGCₜ = α·TGCₜ + (1-α)·̃TGCₜ₋₁, α = 0.1.</w:t>
      </w:r>
    </w:p>
    <w:p>
      <w:pPr>
        <w:spacing w:before="160" w:after="0"/>
      </w:pPr>
      <w:r>
        <w:rPr>
          <w:rFonts w:ascii="Times New Roman" w:cs="Times New Roman" w:eastAsia="Times New Roman" w:hAnsi="Times New Roman"/>
          <w:b w:val="false"/>
          <w:bCs w:val="false"/>
          <w:i w:val="false"/>
          <w:iCs w:val="false"/>
          <w:color w:val="000000"/>
          <w:sz w:val="22"/>
          <w:szCs w:val="22"/>
        </w:rPr>
        <w:t xml:space="preserve"/>
      </w:r>
    </w:p>
    <w:p>
      <w:pPr>
        <w:spacing w:before="120" w:after="80"/>
      </w:pPr>
      <w:r>
        <w:rPr>
          <w:rFonts w:ascii="Arial" w:cs="Arial" w:eastAsia="Arial" w:hAnsi="Arial"/>
          <w:b/>
          <w:bCs/>
          <w:color w:val="1A2E4A"/>
          <w:sz w:val="24"/>
          <w:szCs w:val="24"/>
        </w:rPr>
        <w:t xml:space="preserve">Appendix C: Implementation</w:t>
      </w:r>
    </w:p>
    <w:p>
      <w:pPr>
        <w:spacing w:before="80" w:after="100" w:line="276"/>
        <w:jc w:val="both"/>
      </w:pPr>
      <w:r>
        <w:rPr>
          <w:rFonts w:ascii="Times New Roman" w:cs="Times New Roman" w:eastAsia="Times New Roman" w:hAnsi="Times New Roman"/>
          <w:b w:val="false"/>
          <w:bCs w:val="false"/>
          <w:i w:val="false"/>
          <w:iCs w:val="false"/>
          <w:color w:val="000000"/>
          <w:sz w:val="22"/>
          <w:szCs w:val="22"/>
        </w:rPr>
        <w:t xml:space="preserve">Full implementation provided in supplementary materials as </w:t>
      </w:r>
      <w:r>
        <w:rPr>
          <w:rFonts w:ascii="Courier New" w:cs="Courier New" w:eastAsia="Courier New" w:hAnsi="Courier New"/>
          <w:color w:val="1A2E4A"/>
          <w:sz w:val="20"/>
          <w:szCs w:val="20"/>
        </w:rPr>
        <w:t xml:space="preserve">nietzsche_adaptive_metrics.py</w:t>
      </w:r>
      <w:r>
        <w:rPr>
          <w:rFonts w:ascii="Times New Roman" w:cs="Times New Roman" w:eastAsia="Times New Roman" w:hAnsi="Times New Roman"/>
          <w:b w:val="false"/>
          <w:bCs w:val="false"/>
          <w:i w:val="false"/>
          <w:iCs w:val="false"/>
          <w:color w:val="000000"/>
          <w:sz w:val="22"/>
          <w:szCs w:val="22"/>
        </w:rPr>
        <w:t xml:space="preserve">. Key classes: </w:t>
      </w:r>
      <w:r>
        <w:rPr>
          <w:rFonts w:ascii="Courier New" w:cs="Courier New" w:eastAsia="Courier New" w:hAnsi="Courier New"/>
          <w:color w:val="1A2E4A"/>
          <w:sz w:val="20"/>
          <w:szCs w:val="20"/>
        </w:rPr>
        <w:t xml:space="preserve">AdaptiveEvaluator</w:t>
      </w:r>
      <w:r>
        <w:rPr>
          <w:rFonts w:ascii="Times New Roman" w:cs="Times New Roman" w:eastAsia="Times New Roman" w:hAnsi="Times New Roman"/>
          <w:b w:val="false"/>
          <w:bCs w:val="false"/>
          <w:i w:val="false"/>
          <w:iCs w:val="false"/>
          <w:color w:val="000000"/>
          <w:sz w:val="22"/>
          <w:szCs w:val="22"/>
        </w:rPr>
        <w:t xml:space="preserve"> (per-condition metrics), </w:t>
      </w:r>
      <w:r>
        <w:rPr>
          <w:rFonts w:ascii="Courier New" w:cs="Courier New" w:eastAsia="Courier New" w:hAnsi="Courier New"/>
          <w:color w:val="1A2E4A"/>
          <w:sz w:val="20"/>
          <w:szCs w:val="20"/>
        </w:rPr>
        <w:t xml:space="preserve">NietzscheEvaluationSuite</w:t>
      </w:r>
      <w:r>
        <w:rPr>
          <w:rFonts w:ascii="Times New Roman" w:cs="Times New Roman" w:eastAsia="Times New Roman" w:hAnsi="Times New Roman"/>
          <w:b w:val="false"/>
          <w:bCs w:val="false"/>
          <w:i w:val="false"/>
          <w:iCs w:val="false"/>
          <w:color w:val="000000"/>
          <w:sz w:val="22"/>
          <w:szCs w:val="22"/>
        </w:rPr>
        <w:t xml:space="preserve"> (orchestrator), </w:t>
      </w:r>
      <w:r>
        <w:rPr>
          <w:rFonts w:ascii="Courier New" w:cs="Courier New" w:eastAsia="Courier New" w:hAnsi="Courier New"/>
          <w:color w:val="1A2E4A"/>
          <w:sz w:val="20"/>
          <w:szCs w:val="20"/>
        </w:rPr>
        <w:t xml:space="preserve">build_evaluation_suite_from_cora()</w:t>
      </w:r>
      <w:r>
        <w:rPr>
          <w:rFonts w:ascii="Times New Roman" w:cs="Times New Roman" w:eastAsia="Times New Roman" w:hAnsi="Times New Roman"/>
          <w:b w:val="false"/>
          <w:bCs w:val="false"/>
          <w:i w:val="false"/>
          <w:iCs w:val="false"/>
          <w:color w:val="000000"/>
          <w:sz w:val="22"/>
          <w:szCs w:val="22"/>
        </w:rPr>
        <w:t xml:space="preserve"> (PyG factory). Critical invariant: </w:t>
      </w:r>
      <w:r>
        <w:rPr>
          <w:rFonts w:ascii="Courier New" w:cs="Courier New" w:eastAsia="Courier New" w:hAnsi="Courier New"/>
          <w:color w:val="1A2E4A"/>
          <w:sz w:val="20"/>
          <w:szCs w:val="20"/>
        </w:rPr>
        <w:t xml:space="preserve">_sample_pure_cora_negatives()</w:t>
      </w:r>
      <w:r>
        <w:rPr>
          <w:rFonts w:ascii="Times New Roman" w:cs="Times New Roman" w:eastAsia="Times New Roman" w:hAnsi="Times New Roman"/>
          <w:b w:val="false"/>
          <w:bCs w:val="false"/>
          <w:i w:val="false"/>
          <w:iCs w:val="false"/>
          <w:color w:val="000000"/>
          <w:sz w:val="22"/>
          <w:szCs w:val="22"/>
        </w:rPr>
        <w:t xml:space="preserve"> enforces both endpoints ∈ V</w:t>
      </w:r>
      <w:r>
        <w:rPr>
          <w:rFonts w:ascii="Times New Roman" w:cs="Times New Roman" w:eastAsia="Times New Roman" w:hAnsi="Times New Roman"/>
          <w:sz w:val="22"/>
          <w:szCs w:val="22"/>
          <w:vertAlign w:val="subscript"/>
        </w:rPr>
        <w:t xml:space="preserve">Cora</w:t>
      </w:r>
      <w:r>
        <w:rPr>
          <w:rFonts w:ascii="Times New Roman" w:cs="Times New Roman" w:eastAsia="Times New Roman" w:hAnsi="Times New Roman"/>
          <w:b w:val="false"/>
          <w:bCs w:val="false"/>
          <w:i w:val="false"/>
          <w:iCs w:val="false"/>
          <w:color w:val="000000"/>
          <w:sz w:val="22"/>
          <w:szCs w:val="22"/>
        </w:rPr>
        <w:t xml:space="preserve"> via rejection sampling, ensuring structural immunity to foam inflation.</w:t>
      </w:r>
    </w:p>
    <w:p>
      <w:pPr>
        <w:spacing w:before="200" w:after="0"/>
      </w:pPr>
      <w:r>
        <w:rPr>
          <w:rFonts w:ascii="Times New Roman" w:cs="Times New Roman" w:eastAsia="Times New Roman" w:hAnsi="Times New Roman"/>
          <w:b w:val="false"/>
          <w:bCs w:val="false"/>
          <w:i w:val="false"/>
          <w:iCs w:val="false"/>
          <w:color w:val="000000"/>
          <w:sz w:val="22"/>
          <w:szCs w:val="22"/>
        </w:rPr>
        <w:t xml:space="preserve"/>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3" w:space="3"/>
      </w:pBdr>
      <w:spacing w:before="80" w:after="0"/>
      <w:jc w:val="center"/>
    </w:pPr>
    <w:r>
      <w:rPr>
        <w:rFonts w:ascii="Arial" w:cs="Arial" w:eastAsia="Arial" w:hAnsi="Arial"/>
        <w:color w:val="888888"/>
        <w:sz w:val="18"/>
        <w:szCs w:val="18"/>
      </w:rPr>
      <w:t xml:space="preserve">— Jose R. F. Junior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2E4A" w:sz="4" w:space="4"/>
      </w:pBdr>
      <w:tabs>
        <w:tab w:val="right" w:pos="9360"/>
      </w:tabs>
      <w:spacing w:before="0" w:after="120"/>
    </w:pPr>
    <w:r>
      <w:rPr>
        <w:rFonts w:ascii="Arial" w:cs="Arial" w:eastAsia="Arial" w:hAnsi="Arial"/>
        <w:i/>
        <w:iCs/>
        <w:color w:val="888888"/>
        <w:sz w:val="18"/>
        <w:szCs w:val="18"/>
      </w:rPr>
      <w:t xml:space="preserve">The Adaptive Penalty Trap</w:t>
    </w:r>
    <w:r>
      <w:rPr>
        <w:rFonts w:ascii="Arial" w:cs="Arial" w:eastAsia="Arial" w:hAnsi="Arial"/>
        <w:color w:val="888888"/>
        <w:sz w:val="18"/>
        <w:szCs w:val="18"/>
      </w:rPr>
      <w:t xml:space="preserve">	Under Review — NeurIPS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A2E4A"/>
      <w:sz w:val="26"/>
      <w:szCs w:val="26"/>
    </w:rPr>
  </w:style>
  <w:style w:type="paragraph" w:styleId="Heading2">
    <w:name w:val="Heading 2"/>
    <w:basedOn w:val="Normal"/>
    <w:next w:val="Normal"/>
    <w:qFormat/>
    <w:pPr>
      <w:spacing w:before="240" w:after="80"/>
      <w:outlineLvl w:val="1"/>
    </w:pPr>
    <w:rPr>
      <w:rFonts w:ascii="Arial" w:cs="Arial" w:eastAsia="Arial" w:hAnsi="Arial"/>
      <w:b/>
      <w:bCs/>
      <w:color w:val="1A2E4A"/>
      <w:sz w:val="23"/>
      <w:szCs w:val="23"/>
    </w:rPr>
  </w:style>
  <w:style w:type="paragraph" w:styleId="Heading3">
    <w:name w:val="Heading 3"/>
    <w:basedOn w:val="Normal"/>
    <w:next w:val="Normal"/>
    <w:qFormat/>
    <w:pPr>
      <w:spacing w:before="160" w:after="60"/>
      <w:outlineLvl w:val="2"/>
    </w:pPr>
    <w:rPr>
      <w:rFonts w:ascii="Arial" w:cs="Arial" w:eastAsia="Arial" w:hAnsi="Arial"/>
      <w:b/>
      <w:b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2026-03-01T16:59:04.264Z</dcterms:created>
  <dcterms:modified xsi:type="dcterms:W3CDTF">2026-03-01T16:59:04.265Z</dcterms:modified>
</cp:coreProperties>
</file>

<file path=docProps/custom.xml><?xml version="1.0" encoding="utf-8"?>
<Properties xmlns="http://schemas.openxmlformats.org/officeDocument/2006/custom-properties" xmlns:vt="http://schemas.openxmlformats.org/officeDocument/2006/docPropsVTypes"/>
</file>