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color w:val="111111"/>
          <w:sz w:val="22"/>
          <w:szCs w:val="22"/>
        </w:rPr>
        <w:t xml:space="preserve"/>
      </w:r>
    </w:p>
    <w:p>
      <w:pPr>
        <w:spacing w:before="0" w:after="80"/>
        <w:jc w:val="center"/>
      </w:pPr>
      <w:r>
        <w:rPr>
          <w:rFonts w:ascii="Arial" w:cs="Arial" w:eastAsia="Arial" w:hAnsi="Arial"/>
          <w:b/>
          <w:bCs/>
          <w:color w:val="1A3A5C"/>
          <w:sz w:val="48"/>
          <w:szCs w:val="48"/>
        </w:rPr>
        <w:t xml:space="preserve">The Adaptive Penalty Trap</w:t>
      </w:r>
    </w:p>
    <w:p>
      <w:pPr>
        <w:spacing w:before="0" w:after="120"/>
        <w:jc w:val="center"/>
      </w:pPr>
      <w:r>
        <w:rPr>
          <w:rFonts w:ascii="Arial" w:cs="Arial" w:eastAsia="Arial" w:hAnsi="Arial"/>
          <w:b/>
          <w:bCs/>
          <w:color w:val="C0392B"/>
          <w:sz w:val="30"/>
          <w:szCs w:val="30"/>
        </w:rPr>
        <w:t xml:space="preserve">Static Benchmarks Systematically Misrank Generative Graph Intelligence</w:t>
      </w:r>
    </w:p>
    <w:p>
      <w:pPr>
        <w:pBdr>
          <w:bottom w:val="single" w:color="1A3A5C" w:sz="10" w:space="1"/>
        </w:pBdr>
        <w:spacing w:before="260" w:after="200"/>
      </w:pPr>
      <w:r>
        <w:rPr>
          <w:rFonts w:ascii="Arial" w:cs="Arial" w:eastAsia="Arial" w:hAnsi="Arial"/>
          <w:color w:val="111111"/>
          <w:sz w:val="22"/>
          <w:szCs w:val="22"/>
        </w:rPr>
        <w:t xml:space="preserve"/>
      </w:r>
    </w:p>
    <w:p>
      <w:pPr>
        <w:spacing w:before="60" w:after="30"/>
        <w:jc w:val="center"/>
      </w:pPr>
      <w:r>
        <w:rPr>
          <w:rFonts w:ascii="Arial" w:cs="Arial" w:eastAsia="Arial" w:hAnsi="Arial"/>
          <w:b/>
          <w:bCs/>
          <w:color w:val="1A3A5C"/>
          <w:sz w:val="26"/>
          <w:szCs w:val="26"/>
        </w:rPr>
        <w:t xml:space="preserve">Jose R. F. Junior</w:t>
      </w:r>
    </w:p>
    <w:p>
      <w:pPr>
        <w:spacing w:before="0" w:after="60"/>
        <w:jc w:val="center"/>
      </w:pPr>
      <w:r>
        <w:rPr>
          <w:rFonts w:ascii="Arial" w:cs="Arial" w:eastAsia="Arial" w:hAnsi="Arial"/>
          <w:i/>
          <w:iCs/>
          <w:color w:val="666666"/>
          <w:sz w:val="22"/>
          <w:szCs w:val="22"/>
        </w:rPr>
        <w:t xml:space="preserve">Under Review — NeurIPS 2026</w:t>
      </w:r>
    </w:p>
    <w:p>
      <w:pPr>
        <w:spacing w:before="12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F4F6F9" w:val="clear"/>
            <w:tcMar>
              <w:top w:type="dxa" w:w="120"/>
              <w:left w:type="dxa" w:w="220"/>
              <w:bottom w:type="dxa" w:w="120"/>
              <w:right w:type="dxa" w:w="180"/>
            </w:tcMar>
          </w:tcPr>
          <w:p>
            <w:pPr>
              <w:spacing w:before="0" w:after="0" w:line="290"/>
              <w:jc w:val="both"/>
            </w:pPr>
            <w:r>
              <w:rPr>
                <w:rFonts w:ascii="Arial" w:cs="Arial" w:eastAsia="Arial" w:hAnsi="Arial"/>
                <w:b/>
                <w:bCs/>
                <w:color w:val="1A3A5C"/>
                <w:sz w:val="22"/>
                <w:szCs w:val="22"/>
              </w:rPr>
              <w:t xml:space="preserve">Abstract. </w:t>
            </w:r>
            <w:r>
              <w:rPr>
                <w:rFonts w:ascii="Arial" w:cs="Arial" w:eastAsia="Arial" w:hAnsi="Arial"/>
                <w:color w:val="111111"/>
                <w:sz w:val="22"/>
                <w:szCs w:val="22"/>
              </w:rPr>
              <w:t xml:space="preserve">We identify and formalize a fundamental evaluation failure affecting all generative and continually-learning graph systems: the </w:t>
            </w:r>
            <w:r>
              <w:rPr>
                <w:rFonts w:ascii="Arial" w:cs="Arial" w:eastAsia="Arial" w:hAnsi="Arial"/>
                <w:b/>
                <w:bCs/>
                <w:color w:val="111111"/>
                <w:sz w:val="22"/>
                <w:szCs w:val="22"/>
              </w:rPr>
              <w:t xml:space="preserve">Adaptive Penalty Trap</w:t>
            </w:r>
            <w:r>
              <w:rPr>
                <w:rFonts w:ascii="Arial" w:cs="Arial" w:eastAsia="Arial" w:hAnsi="Arial"/>
                <w:color w:val="111111"/>
                <w:sz w:val="22"/>
                <w:szCs w:val="22"/>
              </w:rPr>
              <w:t xml:space="preserve">. Standard link prediction benchmarks assume a closed, static graph universe. When applied to systems that actively reorganize their topology, these benchmarks invert true performance rankings — penalizing the most intelligent operational mode and rewarding structurally inert ones through a </w:t>
            </w:r>
            <w:r>
              <w:rPr>
                <w:rFonts w:ascii="Arial" w:cs="Arial" w:eastAsia="Arial" w:hAnsi="Arial"/>
                <w:b/>
                <w:bCs/>
                <w:color w:val="111111"/>
                <w:sz w:val="22"/>
                <w:szCs w:val="22"/>
              </w:rPr>
              <w:t xml:space="preserve">foam inflation artifact</w:t>
            </w:r>
            <w:r>
              <w:rPr>
                <w:rFonts w:ascii="Arial" w:cs="Arial" w:eastAsia="Arial" w:hAnsi="Arial"/>
                <w:color w:val="111111"/>
                <w:sz w:val="22"/>
                <w:szCs w:val="22"/>
              </w:rPr>
              <w:t xml:space="preserve">. We demonstrate this empirically using NietzscheDB, a hyperbolic dynamic graph system operating in Poincaré disk geometry with an L-System synthesis engine (Zaratustra). Across 300 experimental cycles on three operational conditions, we establish: (1) a universal empirical law </w:t>
            </w:r>
            <w:r>
              <w:rPr>
                <w:rFonts w:ascii="Courier New" w:cs="Courier New" w:eastAsia="Courier New" w:hAnsi="Courier New"/>
                <w:b/>
                <w:bCs/>
                <w:color w:val="1A3A5C"/>
                <w:sz w:val="21"/>
                <w:szCs w:val="21"/>
              </w:rPr>
              <w:t xml:space="preserve">∂AUC/∂TGC &gt; 0</w:t>
            </w:r>
            <w:r>
              <w:rPr>
                <w:rFonts w:ascii="Arial" w:cs="Arial" w:eastAsia="Arial" w:hAnsi="Arial"/>
                <w:color w:val="111111"/>
                <w:sz w:val="22"/>
                <w:szCs w:val="22"/>
              </w:rPr>
              <w:t xml:space="preserve"> (r = 0.697, p = 5.7×10⁻⁴⁵); (2) the Topological Growth Coefficient (TGC) as an </w:t>
            </w:r>
            <w:r>
              <w:rPr>
                <w:rFonts w:ascii="Arial" w:cs="Arial" w:eastAsia="Arial" w:hAnsi="Arial"/>
                <w:b/>
                <w:bCs/>
                <w:color w:val="111111"/>
                <w:sz w:val="22"/>
                <w:szCs w:val="22"/>
              </w:rPr>
              <w:t xml:space="preserve">order parameter</w:t>
            </w:r>
            <w:r>
              <w:rPr>
                <w:rFonts w:ascii="Arial" w:cs="Arial" w:eastAsia="Arial" w:hAnsi="Arial"/>
                <w:color w:val="111111"/>
                <w:sz w:val="22"/>
                <w:szCs w:val="22"/>
              </w:rPr>
              <w:t xml:space="preserve"> for relational intelligence in non-stationary graphs; (3) static AUC is </w:t>
            </w:r>
            <w:r>
              <w:rPr>
                <w:rFonts w:ascii="Arial" w:cs="Arial" w:eastAsia="Arial" w:hAnsi="Arial"/>
                <w:b/>
                <w:bCs/>
                <w:color w:val="111111"/>
                <w:sz w:val="22"/>
                <w:szCs w:val="22"/>
              </w:rPr>
              <w:t xml:space="preserve">structurally anti-correlated</w:t>
            </w:r>
            <w:r>
              <w:rPr>
                <w:rFonts w:ascii="Arial" w:cs="Arial" w:eastAsia="Arial" w:hAnsi="Arial"/>
                <w:color w:val="111111"/>
                <w:sz w:val="22"/>
                <w:szCs w:val="22"/>
              </w:rPr>
              <w:t xml:space="preserve"> with true generative quality when foam nodes are present. We introduce three corrective metrics immune to structural artifacts. Our findings challenge a foundational assumption of graph ML evaluation.</w:t>
            </w:r>
          </w:p>
        </w:tc>
      </w:tr>
    </w:tbl>
    <w:p>
      <w:pPr>
        <w:spacing w:before="16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1. Introduction</w:t>
      </w:r>
    </w:p>
    <w:p>
      <w:pPr>
        <w:spacing w:before="80" w:after="100" w:line="290"/>
        <w:jc w:val="both"/>
      </w:pPr>
      <w:r>
        <w:rPr>
          <w:rFonts w:ascii="Arial" w:cs="Arial" w:eastAsia="Arial" w:hAnsi="Arial"/>
          <w:color w:val="111111"/>
          <w:sz w:val="22"/>
          <w:szCs w:val="22"/>
        </w:rPr>
        <w:t xml:space="preserve">The dominant paradigm in graph machine learning evaluation treats the graph as a fixed substrate. Link prediction, node classification, and graph classification benchmarks all operate on a frozen snapshot: nodes are fixed, edges are fixed, and the model's task is to recover withheld structure from this static universe.</w:t>
      </w:r>
    </w:p>
    <w:p>
      <w:pPr>
        <w:spacing w:before="80" w:after="100" w:line="290"/>
        <w:jc w:val="both"/>
      </w:pPr>
      <w:r>
        <w:rPr>
          <w:rFonts w:ascii="Arial" w:cs="Arial" w:eastAsia="Arial" w:hAnsi="Arial"/>
          <w:color w:val="111111"/>
          <w:sz w:val="22"/>
          <w:szCs w:val="22"/>
        </w:rPr>
        <w:t xml:space="preserve">This paradigm is internally consistent for static models — encoders that read a graph and produce embeddings. It breaks down completely for generative graph systems: architectures that actively synthesize new nodes and edges as part of their operation. In such systems, the graph at evaluation time is not the graph at training time. The embedding space has been reorganized. The metric's assumptions are violated at every level.</w:t>
      </w:r>
    </w:p>
    <w:p>
      <w:pPr>
        <w:spacing w:before="80" w:after="100" w:line="290"/>
        <w:jc w:val="both"/>
      </w:pPr>
      <w:r>
        <w:rPr>
          <w:rFonts w:ascii="Arial" w:cs="Arial" w:eastAsia="Arial" w:hAnsi="Arial"/>
          <w:color w:val="111111"/>
          <w:sz w:val="22"/>
          <w:szCs w:val="22"/>
        </w:rPr>
        <w:t xml:space="preserve">We demonstrate that this violation is not merely a technical nuisance but a </w:t>
      </w:r>
      <w:r>
        <w:rPr>
          <w:rFonts w:ascii="Arial" w:cs="Arial" w:eastAsia="Arial" w:hAnsi="Arial"/>
          <w:b/>
          <w:bCs/>
          <w:color w:val="111111"/>
          <w:sz w:val="22"/>
          <w:szCs w:val="22"/>
        </w:rPr>
        <w:t xml:space="preserve">systematic inversion of rankings</w:t>
      </w:r>
      <w:r>
        <w:rPr>
          <w:rFonts w:ascii="Arial" w:cs="Arial" w:eastAsia="Arial" w:hAnsi="Arial"/>
          <w:color w:val="111111"/>
          <w:sz w:val="22"/>
          <w:szCs w:val="22"/>
        </w:rPr>
        <w:t xml:space="preserve">. The more a system learns and reorganizes, the worse it appears under static benchmarks. The most cognitively inert mode — generating structurally isolated foam — achieves the highest AUC. The most intelligent mode — actively building semantic bridges between knowledge hubs — achieves the lowest AUC. We call this the </w:t>
      </w:r>
      <w:r>
        <w:rPr>
          <w:rFonts w:ascii="Arial" w:cs="Arial" w:eastAsia="Arial" w:hAnsi="Arial"/>
          <w:b/>
          <w:bCs/>
          <w:color w:val="C0392B"/>
          <w:sz w:val="22"/>
          <w:szCs w:val="22"/>
        </w:rPr>
        <w:t xml:space="preserve">Adaptive Penalty Trap</w:t>
      </w:r>
      <w:r>
        <w:rPr>
          <w:rFonts w:ascii="Arial" w:cs="Arial" w:eastAsia="Arial" w:hAnsi="Arial"/>
          <w:color w:val="111111"/>
          <w:sz w:val="22"/>
          <w:szCs w:val="22"/>
        </w:rPr>
        <w:t xml:space="preserve">.</w:t>
      </w:r>
    </w:p>
    <w:p>
      <w:pPr>
        <w:spacing w:before="80" w:after="0"/>
      </w:pPr>
      <w:r>
        <w:rPr>
          <w:rFonts w:ascii="Arial" w:cs="Arial" w:eastAsia="Arial" w:hAnsi="Arial"/>
          <w:color w:val="111111"/>
          <w:sz w:val="22"/>
          <w:szCs w:val="22"/>
        </w:rPr>
        <w:t xml:space="preserve"/>
      </w:r>
    </w:p>
    <w:p>
      <w:pPr>
        <w:pStyle w:val="Heading3"/>
        <w:spacing w:before="200" w:after="60"/>
      </w:pPr>
      <w:r>
        <w:rPr>
          <w:rFonts w:ascii="Arial" w:cs="Arial" w:eastAsia="Arial" w:hAnsi="Arial"/>
          <w:b/>
          <w:bCs/>
          <w:color w:val="555555"/>
          <w:sz w:val="22"/>
          <w:szCs w:val="22"/>
        </w:rPr>
        <w:t xml:space="preserve">1.1  Contributions</w:t>
      </w:r>
    </w:p>
    <w:p>
      <w:pPr>
        <w:pStyle w:val="ListParagraph"/>
        <w:numPr>
          <w:ilvl w:val="0"/>
          <w:numId w:val="2"/>
        </w:numPr>
        <w:spacing w:before="80" w:after="80"/>
      </w:pPr>
      <w:r>
        <w:rPr>
          <w:rFonts w:ascii="Arial" w:cs="Arial" w:eastAsia="Arial" w:hAnsi="Arial"/>
          <w:b/>
          <w:bCs/>
          <w:color w:val="111111"/>
          <w:sz w:val="22"/>
          <w:szCs w:val="22"/>
        </w:rPr>
        <w:t xml:space="preserve">Formal diagnosis </w:t>
      </w:r>
      <w:r>
        <w:rPr>
          <w:rFonts w:ascii="Arial" w:cs="Arial" w:eastAsia="Arial" w:hAnsi="Arial"/>
          <w:color w:val="111111"/>
          <w:sz w:val="22"/>
          <w:szCs w:val="22"/>
        </w:rPr>
        <w:t xml:space="preserve">of the Adaptive Penalty Trap: the three structural assumptions violated by generative graphs and how each distorts AUC.</w:t>
      </w:r>
    </w:p>
    <w:p>
      <w:pPr>
        <w:pStyle w:val="ListParagraph"/>
        <w:numPr>
          <w:ilvl w:val="0"/>
          <w:numId w:val="2"/>
        </w:numPr>
        <w:spacing w:before="80" w:after="80"/>
      </w:pPr>
      <w:r>
        <w:rPr>
          <w:rFonts w:ascii="Arial" w:cs="Arial" w:eastAsia="Arial" w:hAnsi="Arial"/>
          <w:b/>
          <w:bCs/>
          <w:color w:val="111111"/>
          <w:sz w:val="22"/>
          <w:szCs w:val="22"/>
        </w:rPr>
        <w:t xml:space="preserve">Empirical validation </w:t>
      </w:r>
      <w:r>
        <w:rPr>
          <w:rFonts w:ascii="Arial" w:cs="Arial" w:eastAsia="Arial" w:hAnsi="Arial"/>
          <w:color w:val="111111"/>
          <w:sz w:val="22"/>
          <w:szCs w:val="22"/>
        </w:rPr>
        <w:t xml:space="preserve">at GPU scale (NVIDIA L4, CUDA Poincaré distance) across 300 cycles, establishing </w:t>
      </w:r>
      <w:r>
        <w:rPr>
          <w:rFonts w:ascii="Courier New" w:cs="Courier New" w:eastAsia="Courier New" w:hAnsi="Courier New"/>
          <w:b/>
          <w:bCs/>
          <w:color w:val="1A3A5C"/>
          <w:sz w:val="21"/>
          <w:szCs w:val="21"/>
        </w:rPr>
        <w:t xml:space="preserve">∂AUC/∂TGC &gt; 0</w:t>
      </w:r>
      <w:r>
        <w:rPr>
          <w:rFonts w:ascii="Arial" w:cs="Arial" w:eastAsia="Arial" w:hAnsi="Arial"/>
          <w:color w:val="111111"/>
          <w:sz w:val="22"/>
          <w:szCs w:val="22"/>
        </w:rPr>
        <w:t xml:space="preserve"> as a universal empirical law.</w:t>
      </w:r>
    </w:p>
    <w:p>
      <w:pPr>
        <w:pStyle w:val="ListParagraph"/>
        <w:numPr>
          <w:ilvl w:val="0"/>
          <w:numId w:val="2"/>
        </w:numPr>
        <w:spacing w:before="80" w:after="80"/>
      </w:pPr>
      <w:r>
        <w:rPr>
          <w:rFonts w:ascii="Arial" w:cs="Arial" w:eastAsia="Arial" w:hAnsi="Arial"/>
          <w:b/>
          <w:bCs/>
          <w:color w:val="111111"/>
          <w:sz w:val="22"/>
          <w:szCs w:val="22"/>
        </w:rPr>
        <w:t xml:space="preserve">Topological Growth Coefficient (TGC) </w:t>
      </w:r>
      <w:r>
        <w:rPr>
          <w:rFonts w:ascii="Arial" w:cs="Arial" w:eastAsia="Arial" w:hAnsi="Arial"/>
          <w:color w:val="111111"/>
          <w:sz w:val="22"/>
          <w:szCs w:val="22"/>
        </w:rPr>
        <w:t xml:space="preserve">as a measurable order parameter for relational intelligence in non-stationary hyperbolic graphs.</w:t>
      </w:r>
    </w:p>
    <w:p>
      <w:pPr>
        <w:pStyle w:val="ListParagraph"/>
        <w:numPr>
          <w:ilvl w:val="0"/>
          <w:numId w:val="2"/>
        </w:numPr>
        <w:spacing w:before="80" w:after="80"/>
      </w:pPr>
      <w:r>
        <w:rPr>
          <w:rFonts w:ascii="Arial" w:cs="Arial" w:eastAsia="Arial" w:hAnsi="Arial"/>
          <w:b/>
          <w:bCs/>
          <w:color w:val="111111"/>
          <w:sz w:val="22"/>
          <w:szCs w:val="22"/>
        </w:rPr>
        <w:t xml:space="preserve">Three corrective metrics </w:t>
      </w:r>
      <w:r>
        <w:rPr>
          <w:rFonts w:ascii="Arial" w:cs="Arial" w:eastAsia="Arial" w:hAnsi="Arial"/>
          <w:color w:val="111111"/>
          <w:sz w:val="22"/>
          <w:szCs w:val="22"/>
        </w:rPr>
        <w:t xml:space="preserve">— Generative Coherence AUC, Homophily Delta, NCA — structurally immune to foam inflation, restoring the correct performance ranking.</w:t>
      </w:r>
    </w:p>
    <w:p>
      <w:pPr>
        <w:pStyle w:val="ListParagraph"/>
        <w:numPr>
          <w:ilvl w:val="0"/>
          <w:numId w:val="2"/>
        </w:numPr>
        <w:spacing w:before="80" w:after="80"/>
      </w:pPr>
      <w:r>
        <w:rPr>
          <w:rFonts w:ascii="Arial" w:cs="Arial" w:eastAsia="Arial" w:hAnsi="Arial"/>
          <w:b/>
          <w:bCs/>
          <w:color w:val="111111"/>
          <w:sz w:val="22"/>
          <w:szCs w:val="22"/>
        </w:rPr>
        <w:t xml:space="preserve">A general principle: </w:t>
      </w:r>
      <w:r>
        <w:rPr>
          <w:rFonts w:ascii="Arial" w:cs="Arial" w:eastAsia="Arial" w:hAnsi="Arial"/>
          <w:color w:val="111111"/>
          <w:sz w:val="22"/>
          <w:szCs w:val="22"/>
        </w:rPr>
        <w:t xml:space="preserve">a system can degrade on classical benchmarks precisely as it becomes more intelligent. This is not a bug in NietzscheDB. It is a bug in the evaluation methodology.</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2. Background and Related Work</w:t>
      </w:r>
    </w:p>
    <w:p>
      <w:pPr>
        <w:pStyle w:val="Heading2"/>
        <w:spacing w:before="280" w:after="80"/>
      </w:pPr>
      <w:r>
        <w:rPr>
          <w:rFonts w:ascii="Arial" w:cs="Arial" w:eastAsia="Arial" w:hAnsi="Arial"/>
          <w:b/>
          <w:bCs/>
          <w:color w:val="1A3A5C"/>
          <w:sz w:val="24"/>
          <w:szCs w:val="24"/>
        </w:rPr>
        <w:t xml:space="preserve">2.1  Hyperbolic Graph Embeddings</w:t>
      </w:r>
    </w:p>
    <w:p>
      <w:pPr>
        <w:spacing w:before="80" w:after="100" w:line="290"/>
        <w:jc w:val="both"/>
      </w:pPr>
      <w:r>
        <w:rPr>
          <w:rFonts w:ascii="Arial" w:cs="Arial" w:eastAsia="Arial" w:hAnsi="Arial"/>
          <w:color w:val="111111"/>
          <w:sz w:val="22"/>
          <w:szCs w:val="22"/>
        </w:rPr>
        <w:t xml:space="preserve">Hyperbolic space, particularly the Poincaré disk model </w:t>
      </w:r>
      <w:r>
        <w:rPr>
          <w:rFonts w:ascii="Courier New" w:cs="Courier New" w:eastAsia="Courier New" w:hAnsi="Courier New"/>
          <w:b/>
          <w:bCs/>
          <w:color w:val="1A3A5C"/>
          <w:sz w:val="21"/>
          <w:szCs w:val="21"/>
        </w:rPr>
        <w:t xml:space="preserve">D^n = {x ∈ R^n : ‖x‖ &lt; 1}</w:t>
      </w:r>
      <w:r>
        <w:rPr>
          <w:rFonts w:ascii="Arial" w:cs="Arial" w:eastAsia="Arial" w:hAnsi="Arial"/>
          <w:color w:val="111111"/>
          <w:sz w:val="22"/>
          <w:szCs w:val="22"/>
        </w:rPr>
        <w:t xml:space="preserve">, naturally accommodates hierarchical and scale-free structures [Nickel &amp; Kiela, 2017; Chami et al., 2019]. The geodesic distance:</w:t>
      </w:r>
    </w:p>
    <w:p>
      <w:pPr>
        <w:spacing w:before="160" w:after="160"/>
        <w:jc w:val="center"/>
      </w:pPr>
      <w:r>
        <w:rPr>
          <w:rFonts w:ascii="Courier New" w:cs="Courier New" w:eastAsia="Courier New" w:hAnsi="Courier New"/>
          <w:b/>
          <w:bCs/>
          <w:color w:val="1A3A5C"/>
          <w:sz w:val="21"/>
          <w:szCs w:val="21"/>
        </w:rPr>
        <w:t xml:space="preserve">d_H(u,v) = arccosh( 1 + 2‖u−v‖² / ((1−‖u‖²)(1−‖v‖²)) )</w:t>
      </w:r>
    </w:p>
    <w:p>
      <w:pPr>
        <w:spacing w:before="80" w:after="100" w:line="290"/>
        <w:jc w:val="both"/>
      </w:pPr>
      <w:r>
        <w:rPr>
          <w:rFonts w:ascii="Arial" w:cs="Arial" w:eastAsia="Arial" w:hAnsi="Arial"/>
          <w:color w:val="111111"/>
          <w:sz w:val="22"/>
          <w:szCs w:val="22"/>
        </w:rPr>
        <w:t xml:space="preserve">grows exponentially with depth in tree-structured data, making it exponentially more expressive than Euclidean embeddings for hierarchical graphs. Our system operates exclusively in this geometry.</w:t>
      </w:r>
    </w:p>
    <w:p>
      <w:pPr>
        <w:pStyle w:val="Heading2"/>
        <w:spacing w:before="280" w:after="80"/>
      </w:pPr>
      <w:r>
        <w:rPr>
          <w:rFonts w:ascii="Arial" w:cs="Arial" w:eastAsia="Arial" w:hAnsi="Arial"/>
          <w:b/>
          <w:bCs/>
          <w:color w:val="1A3A5C"/>
          <w:sz w:val="24"/>
          <w:szCs w:val="24"/>
        </w:rPr>
        <w:t xml:space="preserve">2.2  Dynamic Graph Learning</w:t>
      </w:r>
    </w:p>
    <w:p>
      <w:pPr>
        <w:spacing w:before="80" w:after="100" w:line="290"/>
        <w:jc w:val="both"/>
      </w:pPr>
      <w:r>
        <w:rPr>
          <w:rFonts w:ascii="Arial" w:cs="Arial" w:eastAsia="Arial" w:hAnsi="Arial"/>
          <w:color w:val="111111"/>
          <w:sz w:val="22"/>
          <w:szCs w:val="22"/>
        </w:rPr>
        <w:t xml:space="preserve">The literature on dynamic graphs [Kazemi et al., 2020; Rossi et al., 2020] predominantly addresses </w:t>
      </w:r>
      <w:r>
        <w:rPr>
          <w:rFonts w:ascii="Arial" w:cs="Arial" w:eastAsia="Arial" w:hAnsi="Arial"/>
          <w:i/>
          <w:iCs/>
          <w:color w:val="111111"/>
          <w:sz w:val="22"/>
          <w:szCs w:val="22"/>
        </w:rPr>
        <w:t xml:space="preserve">predicting</w:t>
      </w:r>
      <w:r>
        <w:rPr>
          <w:rFonts w:ascii="Arial" w:cs="Arial" w:eastAsia="Arial" w:hAnsi="Arial"/>
          <w:color w:val="111111"/>
          <w:sz w:val="22"/>
          <w:szCs w:val="22"/>
        </w:rPr>
        <w:t xml:space="preserve"> future edges in graphs that change exogenously. This is categorically different from </w:t>
      </w:r>
      <w:r>
        <w:rPr>
          <w:rFonts w:ascii="Arial" w:cs="Arial" w:eastAsia="Arial" w:hAnsi="Arial"/>
          <w:b/>
          <w:bCs/>
          <w:color w:val="111111"/>
          <w:sz w:val="22"/>
          <w:szCs w:val="22"/>
        </w:rPr>
        <w:t xml:space="preserve">generative</w:t>
      </w:r>
      <w:r>
        <w:rPr>
          <w:rFonts w:ascii="Arial" w:cs="Arial" w:eastAsia="Arial" w:hAnsi="Arial"/>
          <w:color w:val="111111"/>
          <w:sz w:val="22"/>
          <w:szCs w:val="22"/>
        </w:rPr>
        <w:t xml:space="preserve"> dynamics, where the graph changes because the model itself synthesizes new structure. We are not aware of prior work that explicitly studies the evaluation implications of this distinction.</w:t>
      </w:r>
    </w:p>
    <w:p>
      <w:pPr>
        <w:pStyle w:val="Heading2"/>
        <w:spacing w:before="280" w:after="80"/>
      </w:pPr>
      <w:r>
        <w:rPr>
          <w:rFonts w:ascii="Arial" w:cs="Arial" w:eastAsia="Arial" w:hAnsi="Arial"/>
          <w:b/>
          <w:bCs/>
          <w:color w:val="1A3A5C"/>
          <w:sz w:val="24"/>
          <w:szCs w:val="24"/>
        </w:rPr>
        <w:t xml:space="preserve">2.3  Evaluation of Continual Learning Systems</w:t>
      </w:r>
    </w:p>
    <w:p>
      <w:pPr>
        <w:spacing w:before="80" w:after="100" w:line="290"/>
        <w:jc w:val="both"/>
      </w:pPr>
      <w:r>
        <w:rPr>
          <w:rFonts w:ascii="Arial" w:cs="Arial" w:eastAsia="Arial" w:hAnsi="Arial"/>
          <w:color w:val="111111"/>
          <w:sz w:val="22"/>
          <w:szCs w:val="22"/>
        </w:rPr>
        <w:t xml:space="preserve">The continual learning literature [Parisi et al., 2019; De Lange et al., 2022] has extensively studied catastrophic forgetting. The Adaptive Penalty Trap is a distinct but structurally related phenomenon: </w:t>
      </w:r>
      <w:r>
        <w:rPr>
          <w:rFonts w:ascii="Arial" w:cs="Arial" w:eastAsia="Arial" w:hAnsi="Arial"/>
          <w:b/>
          <w:bCs/>
          <w:color w:val="111111"/>
          <w:sz w:val="22"/>
          <w:szCs w:val="22"/>
        </w:rPr>
        <w:t xml:space="preserve">the metric itself is the old task</w:t>
      </w:r>
      <w:r>
        <w:rPr>
          <w:rFonts w:ascii="Arial" w:cs="Arial" w:eastAsia="Arial" w:hAnsi="Arial"/>
          <w:color w:val="111111"/>
          <w:sz w:val="22"/>
          <w:szCs w:val="22"/>
        </w:rPr>
        <w:t xml:space="preserve">, and the system is penalized for transcending it.</w:t>
      </w:r>
    </w:p>
    <w:p>
      <w:pPr>
        <w:pStyle w:val="Heading2"/>
        <w:spacing w:before="280" w:after="80"/>
      </w:pPr>
      <w:r>
        <w:rPr>
          <w:rFonts w:ascii="Arial" w:cs="Arial" w:eastAsia="Arial" w:hAnsi="Arial"/>
          <w:b/>
          <w:bCs/>
          <w:color w:val="1A3A5C"/>
          <w:sz w:val="24"/>
          <w:szCs w:val="24"/>
        </w:rPr>
        <w:t xml:space="preserve">2.4  Link Prediction Benchmarks</w:t>
      </w:r>
    </w:p>
    <w:p>
      <w:pPr>
        <w:spacing w:before="80" w:after="100" w:line="290"/>
        <w:jc w:val="both"/>
      </w:pPr>
      <w:r>
        <w:rPr>
          <w:rFonts w:ascii="Arial" w:cs="Arial" w:eastAsia="Arial" w:hAnsi="Arial"/>
          <w:color w:val="111111"/>
          <w:sz w:val="22"/>
          <w:szCs w:val="22"/>
        </w:rPr>
        <w:t xml:space="preserve">Standard link prediction [Hamilton et al., 2017] samples negative edges uniformly from non-edges in the training graph. When a generative system adds structurally isolated foam nodes near the Poincaré boundary (hyperbolic distance → ∞ from all original nodes), these become trivially easy negatives — inflating AUC without reflecting any inferential capability.</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3. System: NietzscheDB</w:t>
      </w:r>
    </w:p>
    <w:p>
      <w:pPr>
        <w:pStyle w:val="Heading2"/>
        <w:spacing w:before="280" w:after="80"/>
      </w:pPr>
      <w:r>
        <w:rPr>
          <w:rFonts w:ascii="Arial" w:cs="Arial" w:eastAsia="Arial" w:hAnsi="Arial"/>
          <w:b/>
          <w:bCs/>
          <w:color w:val="1A3A5C"/>
          <w:sz w:val="24"/>
          <w:szCs w:val="24"/>
        </w:rPr>
        <w:t xml:space="preserve">3.1  Architecture</w:t>
      </w:r>
    </w:p>
    <w:p>
      <w:pPr>
        <w:pStyle w:val="ListParagraph"/>
        <w:numPr>
          <w:ilvl w:val="0"/>
          <w:numId w:val="3"/>
        </w:numPr>
        <w:spacing w:before="60" w:after="60"/>
      </w:pPr>
      <w:r>
        <w:rPr>
          <w:rFonts w:ascii="Arial" w:cs="Arial" w:eastAsia="Arial" w:hAnsi="Arial"/>
          <w:color w:val="111111"/>
          <w:sz w:val="22"/>
          <w:szCs w:val="22"/>
        </w:rPr>
        <w:t xml:space="preserve">Poincaré Disk Embedding Space: all nodes embedded in D^D with D = 64.</w:t>
      </w:r>
    </w:p>
    <w:p>
      <w:pPr>
        <w:pStyle w:val="ListParagraph"/>
        <w:numPr>
          <w:ilvl w:val="0"/>
          <w:numId w:val="3"/>
        </w:numPr>
        <w:spacing w:before="60" w:after="60"/>
      </w:pPr>
      <w:r>
        <w:rPr>
          <w:rFonts w:ascii="Arial" w:cs="Arial" w:eastAsia="Arial" w:hAnsi="Arial"/>
          <w:color w:val="111111"/>
          <w:sz w:val="22"/>
          <w:szCs w:val="22"/>
        </w:rPr>
        <w:t xml:space="preserve">Zaratustra Engine: L-System synthesis engine rewriting topology each cycle.</w:t>
      </w:r>
    </w:p>
    <w:p>
      <w:pPr>
        <w:pStyle w:val="ListParagraph"/>
        <w:numPr>
          <w:ilvl w:val="0"/>
          <w:numId w:val="3"/>
        </w:numPr>
        <w:spacing w:before="60" w:after="60"/>
      </w:pPr>
      <w:r>
        <w:rPr>
          <w:rFonts w:ascii="Arial" w:cs="Arial" w:eastAsia="Arial" w:hAnsi="Arial"/>
          <w:color w:val="111111"/>
          <w:sz w:val="22"/>
          <w:szCs w:val="22"/>
        </w:rPr>
        <w:t xml:space="preserve">GNN Encoder: 2-layer GCN [Kipf &amp; Welling, 2017] with spectral normalization over current adjacency A_t.</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3.2  The Zaratustra Engine</w:t>
      </w:r>
    </w:p>
    <w:p>
      <w:pPr>
        <w:spacing w:before="80" w:after="100" w:line="290"/>
        <w:jc w:val="both"/>
      </w:pPr>
      <w:r>
        <w:rPr>
          <w:rFonts w:ascii="Arial" w:cs="Arial" w:eastAsia="Arial" w:hAnsi="Arial"/>
          <w:color w:val="111111"/>
          <w:sz w:val="22"/>
          <w:szCs w:val="22"/>
        </w:rPr>
        <w:t xml:space="preserve">At each cycle t, Zaratustra selects a seed set S_t according to the active anchoring policy and generates κ = 2 new edges per seed. Three policies define the experimental conditions:</w:t>
      </w:r>
    </w:p>
    <w:p>
      <w:pPr>
        <w:spacing w:before="6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EAF4FF" w:val="clear"/>
            <w:tcMar>
              <w:top w:type="dxa" w:w="120"/>
              <w:left w:type="dxa" w:w="220"/>
              <w:bottom w:type="dxa" w:w="120"/>
              <w:right w:type="dxa" w:w="180"/>
            </w:tcMar>
          </w:tcPr>
          <w:p>
            <w:pPr>
              <w:spacing w:before="0" w:after="0" w:line="290"/>
              <w:jc w:val="both"/>
            </w:pPr>
            <w:r>
              <w:rPr>
                <w:rFonts w:ascii="Arial" w:cs="Arial" w:eastAsia="Arial" w:hAnsi="Arial"/>
                <w:b/>
                <w:bCs/>
                <w:color w:val="1A3A5C"/>
                <w:sz w:val="22"/>
                <w:szCs w:val="22"/>
              </w:rPr>
              <w:t xml:space="preserve">Normal (elite-anchored): </w:t>
            </w:r>
            <w:r>
              <w:rPr>
                <w:rFonts w:ascii="Courier New" w:cs="Courier New" w:eastAsia="Courier New" w:hAnsi="Courier New"/>
                <w:b/>
                <w:bCs/>
                <w:color w:val="1A3A5C"/>
                <w:sz w:val="21"/>
                <w:szCs w:val="21"/>
              </w:rPr>
              <w:t xml:space="preserve">S_t = { v ∈ V_t | deg_t(v) &gt; μ + kσ }</w:t>
            </w:r>
            <w:r>
              <w:rPr>
                <w:rFonts w:ascii="Arial" w:cs="Arial" w:eastAsia="Arial" w:hAnsi="Arial"/>
                <w:color w:val="111111"/>
                <w:sz w:val="22"/>
                <w:szCs w:val="22"/>
              </w:rPr>
              <w:t xml:space="preserve"> — new edges connect elite nodes, driving hub consolidation and semantic compression.</w:t>
            </w:r>
          </w:p>
        </w:tc>
      </w:tr>
    </w:tbl>
    <w:p>
      <w:pPr>
        <w:spacing w:before="4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888888" w:sz="28"/>
              <w:bottom w:val="single" w:color="CCCCCC" w:sz="2"/>
              <w:right w:val="none" w:color="FFFFFF" w:sz="0"/>
            </w:tcBorders>
            <w:shd w:fill="F4F6F9" w:val="clear"/>
            <w:tcMar>
              <w:top w:type="dxa" w:w="120"/>
              <w:left w:type="dxa" w:w="220"/>
              <w:bottom w:type="dxa" w:w="120"/>
              <w:right w:type="dxa" w:w="180"/>
            </w:tcMar>
          </w:tcPr>
          <w:p>
            <w:pPr>
              <w:spacing w:before="0" w:after="0" w:line="290"/>
              <w:jc w:val="both"/>
            </w:pPr>
            <w:r>
              <w:rPr>
                <w:rFonts w:ascii="Arial" w:cs="Arial" w:eastAsia="Arial" w:hAnsi="Arial"/>
                <w:b/>
                <w:bCs/>
                <w:color w:val="888888"/>
                <w:sz w:val="22"/>
                <w:szCs w:val="22"/>
              </w:rPr>
              <w:t xml:space="preserve">Off (foam-orphan): </w:t>
            </w:r>
            <w:r>
              <w:rPr>
                <w:rFonts w:ascii="Courier New" w:cs="Courier New" w:eastAsia="Courier New" w:hAnsi="Courier New"/>
                <w:b/>
                <w:bCs/>
                <w:color w:val="1A3A5C"/>
                <w:sz w:val="21"/>
                <w:szCs w:val="21"/>
              </w:rPr>
              <w:t xml:space="preserve">S_t = ∅</w:t>
            </w:r>
            <w:r>
              <w:rPr>
                <w:rFonts w:ascii="Arial" w:cs="Arial" w:eastAsia="Arial" w:hAnsi="Arial"/>
                <w:color w:val="111111"/>
                <w:sz w:val="22"/>
                <w:szCs w:val="22"/>
              </w:rPr>
              <w:t xml:space="preserve"> — new nodes generated without attachment. Foam nodes initialized near ∂D² (‖v‖ → 1). Structurally inert.</w:t>
            </w:r>
          </w:p>
        </w:tc>
      </w:tr>
    </w:tbl>
    <w:p>
      <w:pPr>
        <w:spacing w:before="4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C0392B" w:sz="28"/>
              <w:bottom w:val="single" w:color="CCCCCC" w:sz="2"/>
              <w:right w:val="none" w:color="FFFFFF" w:sz="0"/>
            </w:tcBorders>
            <w:shd w:fill="FFF0F0" w:val="clear"/>
            <w:tcMar>
              <w:top w:type="dxa" w:w="120"/>
              <w:left w:type="dxa" w:w="220"/>
              <w:bottom w:type="dxa" w:w="120"/>
              <w:right w:type="dxa" w:w="180"/>
            </w:tcMar>
          </w:tcPr>
          <w:p>
            <w:pPr>
              <w:spacing w:before="0" w:after="0" w:line="290"/>
              <w:jc w:val="both"/>
            </w:pPr>
            <w:r>
              <w:rPr>
                <w:rFonts w:ascii="Arial" w:cs="Arial" w:eastAsia="Arial" w:hAnsi="Arial"/>
                <w:b/>
                <w:bCs/>
                <w:color w:val="C0392B"/>
                <w:sz w:val="22"/>
                <w:szCs w:val="22"/>
              </w:rPr>
              <w:t xml:space="preserve">Inverted (anti-anchored): </w:t>
            </w:r>
            <w:r>
              <w:rPr>
                <w:rFonts w:ascii="Courier New" w:cs="Courier New" w:eastAsia="Courier New" w:hAnsi="Courier New"/>
                <w:b/>
                <w:bCs/>
                <w:color w:val="1A3A5C"/>
                <w:sz w:val="21"/>
                <w:szCs w:val="21"/>
              </w:rPr>
              <w:t xml:space="preserve">S_t = { v ∈ V_t | deg_t(v) &lt; μ − kσ }</w:t>
            </w:r>
            <w:r>
              <w:rPr>
                <w:rFonts w:ascii="Arial" w:cs="Arial" w:eastAsia="Arial" w:hAnsi="Arial"/>
                <w:color w:val="111111"/>
                <w:sz w:val="22"/>
                <w:szCs w:val="22"/>
              </w:rPr>
              <w:t xml:space="preserve"> — new edges attach to the weakest peripheral nodes, fragmenting semantic clusters.</w:t>
            </w:r>
          </w:p>
        </w:tc>
      </w:tr>
    </w:tbl>
    <w:p>
      <w:pPr>
        <w:spacing w:before="10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3.3  GPU Infrastructure</w:t>
      </w:r>
    </w:p>
    <w:p>
      <w:pPr>
        <w:spacing w:before="80" w:after="100" w:line="290"/>
        <w:jc w:val="both"/>
      </w:pPr>
      <w:r>
        <w:rPr>
          <w:rFonts w:ascii="Arial" w:cs="Arial" w:eastAsia="Arial" w:hAnsi="Arial"/>
          <w:color w:val="111111"/>
          <w:sz w:val="22"/>
          <w:szCs w:val="22"/>
        </w:rPr>
        <w:t xml:space="preserve">All experiments run on an NVIDIA L4 GPU. Poincaré distance computation is batched in CUDA, reducing O(N²) naive computation to parallel kernel execution at ~430–620 ms/cycle with N ~ 10⁴ nodes. 96% of wall time is spent in the GPU kernel.</w:t>
      </w:r>
    </w:p>
    <w:p>
      <w:pPr>
        <w:pStyle w:val="Heading2"/>
        <w:spacing w:before="280" w:after="80"/>
      </w:pPr>
      <w:r>
        <w:rPr>
          <w:rFonts w:ascii="Arial" w:cs="Arial" w:eastAsia="Arial" w:hAnsi="Arial"/>
          <w:b/>
          <w:bCs/>
          <w:color w:val="1A3A5C"/>
          <w:sz w:val="24"/>
          <w:szCs w:val="24"/>
        </w:rPr>
        <w:t xml:space="preserve">3.4  Topological Growth Coefficient</w:t>
      </w:r>
    </w:p>
    <w:p>
      <w:pPr>
        <w:spacing w:before="80" w:after="100" w:line="290"/>
        <w:jc w:val="both"/>
      </w:pPr>
      <w:r>
        <w:rPr>
          <w:rFonts w:ascii="Arial" w:cs="Arial" w:eastAsia="Arial" w:hAnsi="Arial"/>
          <w:color w:val="111111"/>
          <w:sz w:val="22"/>
          <w:szCs w:val="22"/>
        </w:rPr>
        <w:t xml:space="preserve">TGC is defined as:</w:t>
      </w:r>
    </w:p>
    <w:p>
      <w:pPr>
        <w:spacing w:before="160" w:after="160"/>
        <w:jc w:val="center"/>
      </w:pPr>
      <w:r>
        <w:rPr>
          <w:rFonts w:ascii="Courier New" w:cs="Courier New" w:eastAsia="Courier New" w:hAnsi="Courier New"/>
          <w:b/>
          <w:bCs/>
          <w:color w:val="1A3A5C"/>
          <w:sz w:val="21"/>
          <w:szCs w:val="21"/>
        </w:rPr>
        <w:t xml:space="preserve">TGC_t = (|E_t \ E_{t-1}| / |V_t|) · (|C_t^max| / |V_t|)</w:t>
      </w:r>
    </w:p>
    <w:p>
      <w:pPr>
        <w:spacing w:before="80" w:after="100" w:line="290"/>
        <w:jc w:val="both"/>
      </w:pPr>
      <w:r>
        <w:rPr>
          <w:rFonts w:ascii="Arial" w:cs="Arial" w:eastAsia="Arial" w:hAnsi="Arial"/>
          <w:color w:val="111111"/>
          <w:sz w:val="22"/>
          <w:szCs w:val="22"/>
        </w:rPr>
        <w:t xml:space="preserve">where </w:t>
      </w:r>
      <w:r>
        <w:rPr>
          <w:rFonts w:ascii="Courier New" w:cs="Courier New" w:eastAsia="Courier New" w:hAnsi="Courier New"/>
          <w:b/>
          <w:bCs/>
          <w:color w:val="1A3A5C"/>
          <w:sz w:val="21"/>
          <w:szCs w:val="21"/>
        </w:rPr>
        <w:t xml:space="preserve">|C_t^max|</w:t>
      </w:r>
      <w:r>
        <w:rPr>
          <w:rFonts w:ascii="Arial" w:cs="Arial" w:eastAsia="Arial" w:hAnsi="Arial"/>
          <w:color w:val="111111"/>
          <w:sz w:val="22"/>
          <w:szCs w:val="22"/>
        </w:rPr>
        <w:t xml:space="preserve"> is the largest connected component size. The second factor penalizes foam: nodes that do not connect to the main component reduce TGC even if many new edges were created. Tracked as EMA: </w:t>
      </w:r>
      <w:r>
        <w:rPr>
          <w:rFonts w:ascii="Courier New" w:cs="Courier New" w:eastAsia="Courier New" w:hAnsi="Courier New"/>
          <w:b/>
          <w:bCs/>
          <w:color w:val="1A3A5C"/>
          <w:sz w:val="21"/>
          <w:szCs w:val="21"/>
        </w:rPr>
        <w:t xml:space="preserve">TGC̃_t = α·TGC_t + (1−α)·TGC̃_{t-1}</w:t>
      </w:r>
      <w:r>
        <w:rPr>
          <w:rFonts w:ascii="Arial" w:cs="Arial" w:eastAsia="Arial" w:hAnsi="Arial"/>
          <w:color w:val="111111"/>
          <w:sz w:val="22"/>
          <w:szCs w:val="22"/>
        </w:rPr>
        <w:t xml:space="preserve">, α = 0.1.</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4. The Adaptive Penalty Trap: Formal Analysis</w:t>
      </w:r>
    </w:p>
    <w:p>
      <w:pPr>
        <w:pStyle w:val="Heading2"/>
        <w:spacing w:before="280" w:after="80"/>
      </w:pPr>
      <w:r>
        <w:rPr>
          <w:rFonts w:ascii="Arial" w:cs="Arial" w:eastAsia="Arial" w:hAnsi="Arial"/>
          <w:b/>
          <w:bCs/>
          <w:color w:val="1A3A5C"/>
          <w:sz w:val="24"/>
          <w:szCs w:val="24"/>
        </w:rPr>
        <w:t xml:space="preserve">4.1  The Three Violated Assumptions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C0392B" w:sz="28"/>
              <w:bottom w:val="single" w:color="CCCCCC" w:sz="2"/>
              <w:right w:val="none" w:color="FFFFFF" w:sz="0"/>
            </w:tcBorders>
            <w:shd w:fill="FFF8F8" w:val="clear"/>
            <w:tcMar>
              <w:top w:type="dxa" w:w="120"/>
              <w:left w:type="dxa" w:w="220"/>
              <w:bottom w:type="dxa" w:w="120"/>
              <w:right w:type="dxa" w:w="180"/>
            </w:tcMar>
          </w:tcPr>
          <w:p>
            <w:pPr>
              <w:spacing w:before="0" w:after="0" w:line="290"/>
              <w:jc w:val="both"/>
            </w:pPr>
            <w:r>
              <w:rPr>
                <w:rFonts w:ascii="Arial" w:cs="Arial" w:eastAsia="Arial" w:hAnsi="Arial"/>
                <w:b/>
                <w:bCs/>
                <w:color w:val="C0392B"/>
                <w:sz w:val="22"/>
                <w:szCs w:val="22"/>
              </w:rPr>
              <w:t xml:space="preserve">A1 (Closed Universe): </w:t>
            </w:r>
            <w:r>
              <w:rPr>
                <w:rFonts w:ascii="Arial" w:cs="Arial" w:eastAsia="Arial" w:hAnsi="Arial"/>
                <w:color w:val="111111"/>
                <w:sz w:val="22"/>
                <w:szCs w:val="22"/>
              </w:rPr>
              <w:t xml:space="preserve">V_eval = V_train. </w:t>
            </w:r>
            <w:r>
              <w:rPr>
                <w:rFonts w:ascii="Arial" w:cs="Arial" w:eastAsia="Arial" w:hAnsi="Arial"/>
                <w:b/>
                <w:bCs/>
                <w:color w:val="111111"/>
                <w:sz w:val="22"/>
                <w:szCs w:val="22"/>
              </w:rPr>
              <w:t xml:space="preserve">Violated: </w:t>
            </w:r>
            <w:r>
              <w:rPr>
                <w:rFonts w:ascii="Arial" w:cs="Arial" w:eastAsia="Arial" w:hAnsi="Arial"/>
                <w:color w:val="111111"/>
                <w:sz w:val="22"/>
                <w:szCs w:val="22"/>
              </w:rPr>
              <w:t xml:space="preserve">Zaratustra adds new nodes each cycle.</w:t>
            </w:r>
            <w:r>
              <w:rPr>
                <w:rFonts w:ascii="Arial" w:cs="Arial" w:eastAsia="Arial" w:hAnsi="Arial"/>
                <w:color w:val="111111"/>
                <w:sz w:val="22"/>
                <w:szCs w:val="22"/>
              </w:rPr>
              <w:t xml:space="preserve">
</w:t>
            </w:r>
            <w:r>
              <w:rPr>
                <w:rFonts w:ascii="Arial" w:cs="Arial" w:eastAsia="Arial" w:hAnsi="Arial"/>
                <w:b/>
                <w:bCs/>
                <w:color w:val="C0392B"/>
                <w:sz w:val="22"/>
                <w:szCs w:val="22"/>
              </w:rPr>
              <w:t xml:space="preserve">A2 (Static Topology): </w:t>
            </w:r>
            <w:r>
              <w:rPr>
                <w:rFonts w:ascii="Arial" w:cs="Arial" w:eastAsia="Arial" w:hAnsi="Arial"/>
                <w:color w:val="111111"/>
                <w:sz w:val="22"/>
                <w:szCs w:val="22"/>
              </w:rPr>
              <w:t xml:space="preserve">A_eval = A_train. </w:t>
            </w:r>
            <w:r>
              <w:rPr>
                <w:rFonts w:ascii="Arial" w:cs="Arial" w:eastAsia="Arial" w:hAnsi="Arial"/>
                <w:b/>
                <w:bCs/>
                <w:color w:val="111111"/>
                <w:sz w:val="22"/>
                <w:szCs w:val="22"/>
              </w:rPr>
              <w:t xml:space="preserve">Violated: </w:t>
            </w:r>
            <w:r>
              <w:rPr>
                <w:rFonts w:ascii="Arial" w:cs="Arial" w:eastAsia="Arial" w:hAnsi="Arial"/>
                <w:color w:val="111111"/>
                <w:sz w:val="22"/>
                <w:szCs w:val="22"/>
              </w:rPr>
              <w:t xml:space="preserve">A_t evolves. Elite edges redistribute spectral mass of Â_t, shifting all GNN embeddings.</w:t>
            </w:r>
            <w:r>
              <w:rPr>
                <w:rFonts w:ascii="Arial" w:cs="Arial" w:eastAsia="Arial" w:hAnsi="Arial"/>
                <w:color w:val="111111"/>
                <w:sz w:val="22"/>
                <w:szCs w:val="22"/>
              </w:rPr>
              <w:t xml:space="preserve">
</w:t>
            </w:r>
            <w:r>
              <w:rPr>
                <w:rFonts w:ascii="Arial" w:cs="Arial" w:eastAsia="Arial" w:hAnsi="Arial"/>
                <w:b/>
                <w:bCs/>
                <w:color w:val="C0392B"/>
                <w:sz w:val="22"/>
                <w:szCs w:val="22"/>
              </w:rPr>
              <w:t xml:space="preserve">A3 (Uniform Negatives): </w:t>
            </w:r>
            <w:r>
              <w:rPr>
                <w:rFonts w:ascii="Arial" w:cs="Arial" w:eastAsia="Arial" w:hAnsi="Arial"/>
                <w:color w:val="111111"/>
                <w:sz w:val="22"/>
                <w:szCs w:val="22"/>
              </w:rPr>
              <w:t xml:space="preserve">Sampled from V × V \ E. </w:t>
            </w:r>
            <w:r>
              <w:rPr>
                <w:rFonts w:ascii="Arial" w:cs="Arial" w:eastAsia="Arial" w:hAnsi="Arial"/>
                <w:b/>
                <w:bCs/>
                <w:color w:val="111111"/>
                <w:sz w:val="22"/>
                <w:szCs w:val="22"/>
              </w:rPr>
              <w:t xml:space="preserve">Violated: </w:t>
            </w:r>
            <w:r>
              <w:rPr>
                <w:rFonts w:ascii="Arial" w:cs="Arial" w:eastAsia="Arial" w:hAnsi="Arial"/>
                <w:color w:val="111111"/>
                <w:sz w:val="22"/>
                <w:szCs w:val="22"/>
              </w:rPr>
              <w:t xml:space="preserve">Foam nodes at ‖v‖ → 1 satisfy d_H(v, u) → ∞ for all u ∈ V_Cora, yielding trivial non-edge classification.</w:t>
            </w:r>
          </w:p>
        </w:tc>
      </w:tr>
    </w:tbl>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4.2  The Foam Inflation Effect</w:t>
      </w:r>
    </w:p>
    <w:p>
      <w:pPr>
        <w:spacing w:before="80" w:after="100" w:line="290"/>
        <w:jc w:val="both"/>
      </w:pPr>
      <w:r>
        <w:rPr>
          <w:rFonts w:ascii="Arial" w:cs="Arial" w:eastAsia="Arial" w:hAnsi="Arial"/>
          <w:color w:val="111111"/>
          <w:sz w:val="22"/>
          <w:szCs w:val="22"/>
        </w:rPr>
        <w:t xml:space="preserve">For a foam node f with ‖f‖ = 1 − ε and any Cora node c with ‖c‖ ≤ r_max &lt; 1:</w:t>
      </w:r>
    </w:p>
    <w:p>
      <w:pPr>
        <w:spacing w:before="160" w:after="160"/>
        <w:jc w:val="center"/>
      </w:pPr>
      <w:r>
        <w:rPr>
          <w:rFonts w:ascii="Courier New" w:cs="Courier New" w:eastAsia="Courier New" w:hAnsi="Courier New"/>
          <w:b/>
          <w:bCs/>
          <w:color w:val="1A3A5C"/>
          <w:sz w:val="21"/>
          <w:szCs w:val="21"/>
        </w:rPr>
        <w:t xml:space="preserve">d_H(f,c) ≈ arccosh( ‖f−c‖² / (ε(1−r_max²)) )  →  ∞  as ε → 0</w:t>
      </w:r>
    </w:p>
    <w:p>
      <w:pPr>
        <w:spacing w:before="80" w:after="100" w:line="290"/>
        <w:jc w:val="both"/>
      </w:pPr>
      <w:r>
        <w:rPr>
          <w:rFonts w:ascii="Arial" w:cs="Arial" w:eastAsia="Arial" w:hAnsi="Arial"/>
          <w:color w:val="111111"/>
          <w:sz w:val="22"/>
          <w:szCs w:val="22"/>
        </w:rPr>
        <w:t xml:space="preserve">Hence </w:t>
      </w:r>
      <w:r>
        <w:rPr>
          <w:rFonts w:ascii="Courier New" w:cs="Courier New" w:eastAsia="Courier New" w:hAnsi="Courier New"/>
          <w:b/>
          <w:bCs/>
          <w:color w:val="1A3A5C"/>
          <w:sz w:val="21"/>
          <w:szCs w:val="21"/>
        </w:rPr>
        <w:t xml:space="preserve">s(f,c) = σ(−d_H/τ) → 0</w:t>
      </w:r>
      <w:r>
        <w:rPr>
          <w:rFonts w:ascii="Arial" w:cs="Arial" w:eastAsia="Arial" w:hAnsi="Arial"/>
          <w:color w:val="111111"/>
          <w:sz w:val="22"/>
          <w:szCs w:val="22"/>
        </w:rPr>
        <w:t xml:space="preserve">. Any negative sample including f scores trivially near zero. AUC inflates monotonically with the proportion of foam in the negative pool — a quantity that grows each cycle in Off and Inverted modes.</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4.3  The Learning Penalty</w:t>
      </w:r>
    </w:p>
    <w:p>
      <w:pPr>
        <w:spacing w:before="80" w:after="100" w:line="290"/>
        <w:jc w:val="both"/>
      </w:pPr>
      <w:r>
        <w:rPr>
          <w:rFonts w:ascii="Arial" w:cs="Arial" w:eastAsia="Arial" w:hAnsi="Arial"/>
          <w:color w:val="111111"/>
          <w:sz w:val="22"/>
          <w:szCs w:val="22"/>
        </w:rPr>
        <w:t xml:space="preserve">In Normal mode, GNN propagation at layer l:</w:t>
      </w:r>
    </w:p>
    <w:p>
      <w:pPr>
        <w:spacing w:before="160" w:after="160"/>
        <w:jc w:val="center"/>
      </w:pPr>
      <w:r>
        <w:rPr>
          <w:rFonts w:ascii="Courier New" w:cs="Courier New" w:eastAsia="Courier New" w:hAnsi="Courier New"/>
          <w:b/>
          <w:bCs/>
          <w:color w:val="1A3A5C"/>
          <w:sz w:val="21"/>
          <w:szCs w:val="21"/>
        </w:rPr>
        <w:t xml:space="preserve">H^(l+1) = σ( Â_t · H^(l) · W^(l) ),   Â_t = D̃_t^{-1/2} Ã_t D̃_t^{-1/2}</w:t>
      </w:r>
    </w:p>
    <w:p>
      <w:pPr>
        <w:spacing w:before="80" w:after="100" w:line="290"/>
        <w:jc w:val="both"/>
      </w:pPr>
      <w:r>
        <w:rPr>
          <w:rFonts w:ascii="Arial" w:cs="Arial" w:eastAsia="Arial" w:hAnsi="Arial"/>
          <w:color w:val="111111"/>
          <w:sz w:val="22"/>
          <w:szCs w:val="22"/>
        </w:rPr>
        <w:t xml:space="preserve">New elite-anchored edges modify the spectral decomposition Â_t = UΛUᵀ, increasing eigenvalues for hub connectivity and pulling embeddings toward semantic centroids. The drift δH = H_t − H_{t-1} is not noise — it encodes newly acquired relational knowledge.</w:t>
      </w:r>
    </w:p>
    <w:p>
      <w:pPr>
        <w:spacing w:before="80" w:after="100" w:line="290"/>
        <w:jc w:val="both"/>
      </w:pPr>
      <w:r>
        <w:rPr>
          <w:rFonts w:ascii="Arial" w:cs="Arial" w:eastAsia="Arial" w:hAnsi="Arial"/>
          <w:color w:val="111111"/>
          <w:sz w:val="22"/>
          <w:szCs w:val="22"/>
        </w:rPr>
        <w:t xml:space="preserve">However, E_test was constructed against H_0. Evaluating against E_test measures not intelligence but preservation of the initial configuration — precisely what Normal mode transcends.</w:t>
      </w:r>
    </w:p>
    <w:p>
      <w:pPr>
        <w:spacing w:before="160" w:after="160"/>
        <w:jc w:val="center"/>
      </w:pPr>
      <w:r>
        <w:rPr>
          <w:rFonts w:ascii="Courier New" w:cs="Courier New" w:eastAsia="Courier New" w:hAnsi="Courier New"/>
          <w:b/>
          <w:bCs/>
          <w:color w:val="1A3A5C"/>
          <w:sz w:val="21"/>
          <w:szCs w:val="21"/>
        </w:rPr>
        <w:t xml:space="preserve">∂AUC_static / ∂‖δH‖ &lt; 0   in Normal mode</w:t>
      </w:r>
    </w:p>
    <w:p>
      <w:pPr>
        <w:spacing w:before="80" w:after="100" w:line="290"/>
        <w:jc w:val="both"/>
      </w:pPr>
      <w:r>
        <w:rPr>
          <w:rFonts w:ascii="Arial" w:cs="Arial" w:eastAsia="Arial" w:hAnsi="Arial"/>
          <w:color w:val="111111"/>
          <w:sz w:val="22"/>
          <w:szCs w:val="22"/>
        </w:rPr>
        <w:t xml:space="preserve">This is the Adaptive Penalty Trap in its mathematical form.</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5. Empirical Results: The Universal Law</w:t>
      </w:r>
    </w:p>
    <w:p>
      <w:pPr>
        <w:pStyle w:val="Heading2"/>
        <w:spacing w:before="280" w:after="80"/>
      </w:pPr>
      <w:r>
        <w:rPr>
          <w:rFonts w:ascii="Arial" w:cs="Arial" w:eastAsia="Arial" w:hAnsi="Arial"/>
          <w:b/>
          <w:bCs/>
          <w:color w:val="1A3A5C"/>
          <w:sz w:val="24"/>
          <w:szCs w:val="24"/>
        </w:rPr>
        <w:t xml:space="preserve">5.1  Experimental Setup</w:t>
      </w:r>
    </w:p>
    <w:p>
      <w:pPr>
        <w:pStyle w:val="ListParagraph"/>
        <w:numPr>
          <w:ilvl w:val="0"/>
          <w:numId w:val="3"/>
        </w:numPr>
        <w:spacing w:before="60" w:after="60"/>
      </w:pPr>
      <w:r>
        <w:rPr>
          <w:rFonts w:ascii="Arial" w:cs="Arial" w:eastAsia="Arial" w:hAnsi="Arial"/>
          <w:color w:val="111111"/>
          <w:sz w:val="22"/>
          <w:szCs w:val="22"/>
        </w:rPr>
        <w:t xml:space="preserve">Dataset: Cora citation network (2,708 nodes, 5,429 edges, 7 classes)</w:t>
      </w:r>
    </w:p>
    <w:p>
      <w:pPr>
        <w:pStyle w:val="ListParagraph"/>
        <w:numPr>
          <w:ilvl w:val="0"/>
          <w:numId w:val="3"/>
        </w:numPr>
        <w:spacing w:before="60" w:after="60"/>
      </w:pPr>
      <w:r>
        <w:rPr>
          <w:rFonts w:ascii="Arial" w:cs="Arial" w:eastAsia="Arial" w:hAnsi="Arial"/>
          <w:color w:val="111111"/>
          <w:sz w:val="22"/>
          <w:szCs w:val="22"/>
        </w:rPr>
        <w:t xml:space="preserve">Conditions: Normal, Off, Inverted — 100 cycles each, 3 independent runs</w:t>
      </w:r>
    </w:p>
    <w:p>
      <w:pPr>
        <w:pStyle w:val="ListParagraph"/>
        <w:numPr>
          <w:ilvl w:val="0"/>
          <w:numId w:val="3"/>
        </w:numPr>
        <w:spacing w:before="60" w:after="60"/>
      </w:pPr>
      <w:r>
        <w:rPr>
          <w:rFonts w:ascii="Arial" w:cs="Arial" w:eastAsia="Arial" w:hAnsi="Arial"/>
          <w:color w:val="111111"/>
          <w:sz w:val="22"/>
          <w:szCs w:val="22"/>
        </w:rPr>
        <w:t xml:space="preserve">Baseline: static link prediction AUC with standard negative sampling</w:t>
      </w:r>
    </w:p>
    <w:p>
      <w:pPr>
        <w:pStyle w:val="ListParagraph"/>
        <w:numPr>
          <w:ilvl w:val="0"/>
          <w:numId w:val="3"/>
        </w:numPr>
        <w:spacing w:before="60" w:after="60"/>
      </w:pPr>
      <w:r>
        <w:rPr>
          <w:rFonts w:ascii="Arial" w:cs="Arial" w:eastAsia="Arial" w:hAnsi="Arial"/>
          <w:color w:val="111111"/>
          <w:sz w:val="22"/>
          <w:szCs w:val="22"/>
        </w:rPr>
        <w:t xml:space="preserve">Hardware: NVIDIA L4 GPU, CUDA batch Poincaré distance (~430–620 ms/cycle)</w:t>
      </w:r>
    </w:p>
    <w:p>
      <w:pPr>
        <w:spacing w:before="10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5.2  The Central Finding</w:t>
      </w:r>
    </w:p>
    <w:p>
      <w:pPr>
        <w:spacing w:before="60" w:after="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2000"/>
        <w:gridCol w:w="1460"/>
      </w:tblGrid>
      <w:tr>
        <w:trPr>
          <w:tblHeader/>
        </w:trPr>
        <w:tc>
          <w:tcPr>
            <w:tcW w:type="dxa" w:w="29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Final AUC</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AUC</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 (TGC, AUC)</w:t>
            </w:r>
          </w:p>
        </w:tc>
        <w:tc>
          <w:tcPr>
            <w:tcW w:type="dxa" w:w="14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Normal (elite-anchored)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0.8193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0.8398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&lt; 10⁻²⁷</w:t>
            </w:r>
          </w:p>
        </w:tc>
      </w:tr>
      <w:tr>
        <w:tc>
          <w:tcPr>
            <w:tcW w:type="dxa" w:w="29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11111"/>
                <w:sz w:val="20"/>
                <w:szCs w:val="20"/>
              </w:rPr>
              <w:t xml:space="preserve">Off (foam-orphan)</w:t>
            </w:r>
          </w:p>
        </w:tc>
        <w:tc>
          <w:tcPr>
            <w:tcW w:type="dxa" w:w="1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0.8971</w:t>
            </w:r>
          </w:p>
        </w:tc>
        <w:tc>
          <w:tcPr>
            <w:tcW w:type="dxa" w:w="1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0.8686</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0.88***</w:t>
            </w:r>
          </w:p>
        </w:tc>
        <w:tc>
          <w:tcPr>
            <w:tcW w:type="dxa" w:w="1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&lt; 10⁻²⁷</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20"/>
                <w:szCs w:val="20"/>
              </w:rPr>
              <w:t xml:space="preserve">Inverted (anti-anchored)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0.9023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0.8598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0.90***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&lt; 10⁻²⁷</w:t>
            </w:r>
          </w:p>
        </w:tc>
      </w:tr>
      <w:tr>
        <w:tc>
          <w:tcPr>
            <w:tcW w:type="dxa" w:w="2900"/>
            <w:tcBorders>
              <w:top w:val="double" w:color="1A3A5C" w:sz="6"/>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A3A5C"/>
                <w:sz w:val="20"/>
                <w:szCs w:val="20"/>
              </w:rPr>
              <w:t xml:space="preserve">Pooled</w:t>
            </w:r>
          </w:p>
        </w:tc>
        <w:tc>
          <w:tcPr>
            <w:tcW w:type="dxa" w:w="15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w:t>
            </w:r>
          </w:p>
        </w:tc>
        <w:tc>
          <w:tcPr>
            <w:tcW w:type="dxa" w:w="15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i w:val="false"/>
                <w:iCs w:val="false"/>
                <w:color w:val="111111"/>
                <w:sz w:val="20"/>
                <w:szCs w:val="20"/>
              </w:rPr>
              <w:t xml:space="preserve">—</w:t>
            </w:r>
          </w:p>
        </w:tc>
        <w:tc>
          <w:tcPr>
            <w:tcW w:type="dxa" w:w="2000"/>
            <w:tcBorders>
              <w:top w:val="double" w:color="1A3A5C" w:sz="6"/>
              <w:left w:val="single" w:color="CCCCCC" w:sz="1"/>
              <w:bottom w:val="single" w:color="CCCCCC" w:sz="1"/>
              <w:right w:val="single" w:color="CCCCCC" w:sz="1"/>
            </w:tcBorders>
            <w:shd w:fill="E8F0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0.697***</w:t>
            </w:r>
          </w:p>
        </w:tc>
        <w:tc>
          <w:tcPr>
            <w:tcW w:type="dxa" w:w="1460"/>
            <w:tcBorders>
              <w:top w:val="double" w:color="1A3A5C" w:sz="6"/>
              <w:left w:val="single" w:color="CCCCCC" w:sz="1"/>
              <w:bottom w:val="single" w:color="CCCCCC" w:sz="1"/>
              <w:right w:val="single" w:color="CCCCCC" w:sz="1"/>
            </w:tcBorders>
            <w:shd w:fill="E8F0FB"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5.7×10⁻⁴⁵</w:t>
            </w:r>
          </w:p>
        </w:tc>
      </w:tr>
    </w:tbl>
    <w:p>
      <w:pPr>
        <w:spacing w:before="60" w:after="0"/>
      </w:pPr>
      <w:r>
        <w:rPr>
          <w:rFonts w:ascii="Arial" w:cs="Arial" w:eastAsia="Arial" w:hAnsi="Arial"/>
          <w:color w:val="111111"/>
          <w:sz w:val="22"/>
          <w:szCs w:val="22"/>
        </w:rPr>
        <w:t xml:space="preserve"/>
      </w:r>
    </w:p>
    <w:p>
      <w:pPr>
        <w:spacing w:before="40" w:after="120"/>
        <w:jc w:val="center"/>
      </w:pPr>
      <w:r>
        <w:rPr>
          <w:rFonts w:ascii="Arial" w:cs="Arial" w:eastAsia="Arial" w:hAnsi="Arial"/>
          <w:i/>
          <w:iCs/>
          <w:color w:val="666666"/>
          <w:sz w:val="19"/>
          <w:szCs w:val="19"/>
        </w:rPr>
        <w:t xml:space="preserve">Table 1. AUC and TGC correlation. *** p &lt; 0.001. Pooled r across all 300 cycles.</w:t>
      </w:r>
    </w:p>
    <w:p>
      <w:pPr>
        <w:spacing w:before="8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color w:val="111111"/>
          <w:sz w:val="22"/>
          <w:szCs w:val="22"/>
        </w:rPr>
        <w:t xml:space="preserve">The empirical law:</w:t>
      </w:r>
    </w:p>
    <w:p>
      <w:pPr>
        <w:spacing w:before="160" w:after="160"/>
        <w:jc w:val="center"/>
      </w:pPr>
      <w:r>
        <w:rPr>
          <w:rFonts w:ascii="Courier New" w:cs="Courier New" w:eastAsia="Courier New" w:hAnsi="Courier New"/>
          <w:b/>
          <w:bCs/>
          <w:color w:val="1A3A5C"/>
          <w:sz w:val="21"/>
          <w:szCs w:val="21"/>
        </w:rPr>
        <w:t xml:space="preserve">∂AUC/∂TGC &gt; 0   ∀ conditions,   r &gt; 0.84,   p &lt; 10⁻²⁷</w:t>
      </w:r>
    </w:p>
    <w:p>
      <w:pPr>
        <w:spacing w:before="80" w:after="100" w:line="290"/>
        <w:jc w:val="both"/>
      </w:pPr>
      <w:r>
        <w:rPr>
          <w:rFonts w:ascii="Arial" w:cs="Arial" w:eastAsia="Arial" w:hAnsi="Arial"/>
          <w:color w:val="111111"/>
          <w:sz w:val="22"/>
          <w:szCs w:val="22"/>
        </w:rPr>
        <w:t xml:space="preserve">This is not condition-specific. TGC is the dominant predictor of inferential performance — not the anchoring policy. Given TGC alone, we can predict AUC without knowing the operational mode.</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5.3  The Inverted Ranking and Its Explanation</w:t>
      </w:r>
    </w:p>
    <w:p>
      <w:pPr>
        <w:spacing w:before="80" w:after="100" w:line="290"/>
        <w:jc w:val="both"/>
      </w:pPr>
      <w:r>
        <w:rPr>
          <w:rFonts w:ascii="Arial" w:cs="Arial" w:eastAsia="Arial" w:hAnsi="Arial"/>
          <w:color w:val="111111"/>
          <w:sz w:val="22"/>
          <w:szCs w:val="22"/>
        </w:rPr>
        <w:t xml:space="preserve">The observed ranking </w:t>
      </w:r>
      <w:r>
        <w:rPr>
          <w:rFonts w:ascii="Courier New" w:cs="Courier New" w:eastAsia="Courier New" w:hAnsi="Courier New"/>
          <w:b/>
          <w:bCs/>
          <w:color w:val="1A3A5C"/>
          <w:sz w:val="21"/>
          <w:szCs w:val="21"/>
        </w:rPr>
        <w:t xml:space="preserve">AUC_Inv &gt; AUC_Off &gt; AUC_Normal</w:t>
      </w:r>
      <w:r>
        <w:rPr>
          <w:rFonts w:ascii="Arial" w:cs="Arial" w:eastAsia="Arial" w:hAnsi="Arial"/>
          <w:color w:val="111111"/>
          <w:sz w:val="22"/>
          <w:szCs w:val="22"/>
        </w:rPr>
        <w:t xml:space="preserve"> directly contradicts the design hypothesis. This inversion is fully explained by the Adaptive Penalty Trap: (1) Off/Inverted generate foam → AUC inflated. (2) Normal reorganizes embeddings → penalized by static test edges. The true ranking of generative quality is exactly reversed by the metric artifact. This inversion is </w:t>
      </w:r>
      <w:r>
        <w:rPr>
          <w:rFonts w:ascii="Arial" w:cs="Arial" w:eastAsia="Arial" w:hAnsi="Arial"/>
          <w:b/>
          <w:bCs/>
          <w:color w:val="111111"/>
          <w:sz w:val="22"/>
          <w:szCs w:val="22"/>
        </w:rPr>
        <w:t xml:space="preserve">not a finding about the system</w:t>
      </w:r>
      <w:r>
        <w:rPr>
          <w:rFonts w:ascii="Arial" w:cs="Arial" w:eastAsia="Arial" w:hAnsi="Arial"/>
          <w:color w:val="111111"/>
          <w:sz w:val="22"/>
          <w:szCs w:val="22"/>
        </w:rPr>
        <w:t xml:space="preserve">. It is a finding about the measurement instrument.</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6. Corrective Evaluation Framework</w:t>
      </w:r>
    </w:p>
    <w:p>
      <w:pPr>
        <w:pStyle w:val="Heading2"/>
        <w:spacing w:before="280" w:after="80"/>
      </w:pPr>
      <w:r>
        <w:rPr>
          <w:rFonts w:ascii="Arial" w:cs="Arial" w:eastAsia="Arial" w:hAnsi="Arial"/>
          <w:b/>
          <w:bCs/>
          <w:color w:val="1A3A5C"/>
          <w:sz w:val="24"/>
          <w:szCs w:val="24"/>
        </w:rPr>
        <w:t xml:space="preserve">6.1  Generative Coherence AUC (AUC_synth)</w:t>
      </w:r>
    </w:p>
    <w:p>
      <w:pPr>
        <w:spacing w:before="160" w:after="160"/>
        <w:jc w:val="center"/>
      </w:pPr>
      <w:r>
        <w:rPr>
          <w:rFonts w:ascii="Courier New" w:cs="Courier New" w:eastAsia="Courier New" w:hAnsi="Courier New"/>
          <w:b/>
          <w:bCs/>
          <w:color w:val="1A3A5C"/>
          <w:sz w:val="21"/>
          <w:szCs w:val="21"/>
        </w:rPr>
        <w:t xml:space="preserve">AUC_synth = P( s(u,v) &gt; s(u',v') | (u,v)∈E_Δt,  (u',v')∈N_Cora )</w:t>
      </w:r>
    </w:p>
    <w:p>
      <w:pPr>
        <w:pStyle w:val="ListParagraph"/>
        <w:numPr>
          <w:ilvl w:val="0"/>
          <w:numId w:val="3"/>
        </w:numPr>
        <w:spacing w:before="60" w:after="60"/>
      </w:pPr>
      <w:r>
        <w:rPr>
          <w:rFonts w:ascii="Arial" w:cs="Arial" w:eastAsia="Arial" w:hAnsi="Arial"/>
          <w:b/>
          <w:bCs/>
          <w:color w:val="111111"/>
          <w:sz w:val="22"/>
          <w:szCs w:val="22"/>
        </w:rPr>
        <w:t xml:space="preserve">Positives: </w:t>
      </w:r>
      <w:r>
        <w:rPr>
          <w:rFonts w:ascii="Arial" w:cs="Arial" w:eastAsia="Arial" w:hAnsi="Arial"/>
          <w:color w:val="111111"/>
          <w:sz w:val="22"/>
          <w:szCs w:val="22"/>
        </w:rPr>
        <w:t xml:space="preserve">E_Δt — edges born exactly at cycle t. Never stale. Never include foam.</w:t>
      </w:r>
    </w:p>
    <w:p>
      <w:pPr>
        <w:pStyle w:val="ListParagraph"/>
        <w:numPr>
          <w:ilvl w:val="0"/>
          <w:numId w:val="3"/>
        </w:numPr>
        <w:spacing w:before="60" w:after="60"/>
      </w:pPr>
      <w:r>
        <w:rPr>
          <w:rFonts w:ascii="Arial" w:cs="Arial" w:eastAsia="Arial" w:hAnsi="Arial"/>
          <w:b/>
          <w:bCs/>
          <w:color w:val="111111"/>
          <w:sz w:val="22"/>
          <w:szCs w:val="22"/>
        </w:rPr>
        <w:t xml:space="preserve">Negatives: </w:t>
      </w:r>
      <w:r>
        <w:rPr>
          <w:rFonts w:ascii="Courier New" w:cs="Courier New" w:eastAsia="Courier New" w:hAnsi="Courier New"/>
          <w:b/>
          <w:bCs/>
          <w:color w:val="1A3A5C"/>
          <w:sz w:val="21"/>
          <w:szCs w:val="21"/>
        </w:rPr>
        <w:t xml:space="preserve">N_Cora ⊂ V_Cora × V_Cora \ E_t</w:t>
      </w:r>
      <w:r>
        <w:rPr>
          <w:rFonts w:ascii="Arial" w:cs="Arial" w:eastAsia="Arial" w:hAnsi="Arial"/>
          <w:color w:val="111111"/>
          <w:sz w:val="22"/>
          <w:szCs w:val="22"/>
        </w:rPr>
        <w:t xml:space="preserve"> — both endpoints must be original Cora nodes. Foam structurally excluded.</w:t>
      </w:r>
    </w:p>
    <w:p>
      <w:pPr>
        <w:pStyle w:val="ListParagraph"/>
        <w:numPr>
          <w:ilvl w:val="0"/>
          <w:numId w:val="3"/>
        </w:numPr>
        <w:spacing w:before="60" w:after="60"/>
      </w:pPr>
      <w:r>
        <w:rPr>
          <w:rFonts w:ascii="Arial" w:cs="Arial" w:eastAsia="Arial" w:hAnsi="Arial"/>
          <w:b/>
          <w:bCs/>
          <w:color w:val="111111"/>
          <w:sz w:val="22"/>
          <w:szCs w:val="22"/>
        </w:rPr>
        <w:t xml:space="preserve">Link score: </w:t>
      </w:r>
      <w:r>
        <w:rPr>
          <w:rFonts w:ascii="Courier New" w:cs="Courier New" w:eastAsia="Courier New" w:hAnsi="Courier New"/>
          <w:b/>
          <w:bCs/>
          <w:color w:val="1A3A5C"/>
          <w:sz w:val="21"/>
          <w:szCs w:val="21"/>
        </w:rPr>
        <w:t xml:space="preserve">s(u,v) = σ(−d_H(u,v)/τ)</w:t>
      </w:r>
    </w:p>
    <w:p>
      <w:pPr>
        <w:spacing w:before="6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EAF4FF" w:val="clear"/>
            <w:tcMar>
              <w:top w:type="dxa" w:w="120"/>
              <w:left w:type="dxa" w:w="220"/>
              <w:bottom w:type="dxa" w:w="120"/>
              <w:right w:type="dxa" w:w="180"/>
            </w:tcMar>
          </w:tcPr>
          <w:p>
            <w:pPr>
              <w:spacing w:before="0" w:after="0" w:line="290"/>
              <w:jc w:val="both"/>
            </w:pPr>
            <w:r>
              <w:rPr>
                <w:rFonts w:ascii="Arial" w:cs="Arial" w:eastAsia="Arial" w:hAnsi="Arial"/>
                <w:b/>
                <w:bCs/>
                <w:color w:val="111111"/>
                <w:sz w:val="22"/>
                <w:szCs w:val="22"/>
              </w:rPr>
              <w:t xml:space="preserve">Foam inflation is structurally impossible by construction. </w:t>
            </w:r>
            <w:r>
              <w:rPr>
                <w:rFonts w:ascii="Arial" w:cs="Arial" w:eastAsia="Arial" w:hAnsi="Arial"/>
                <w:color w:val="111111"/>
                <w:sz w:val="22"/>
                <w:szCs w:val="22"/>
              </w:rPr>
              <w:t xml:space="preserve">The metric directly answers: do the edges Zaratustra invents make geometric sense in the current hyperbolic space?</w:t>
            </w:r>
          </w:p>
        </w:tc>
      </w:tr>
    </w:tbl>
    <w:p>
      <w:pPr>
        <w:spacing w:before="6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b/>
          <w:bCs/>
          <w:color w:val="111111"/>
          <w:sz w:val="22"/>
          <w:szCs w:val="22"/>
        </w:rPr>
        <w:t xml:space="preserve">Predicted ranking: </w:t>
      </w:r>
      <w:r>
        <w:rPr>
          <w:rFonts w:ascii="Arial" w:cs="Arial" w:eastAsia="Arial" w:hAnsi="Arial"/>
          <w:color w:val="111111"/>
          <w:sz w:val="22"/>
          <w:szCs w:val="22"/>
        </w:rPr>
        <w:t xml:space="preserve">Normal &gt; Off &gt; Inverted</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6.2  Homophily Delta (Δh)</w:t>
      </w:r>
    </w:p>
    <w:p>
      <w:pPr>
        <w:spacing w:before="160" w:after="160"/>
        <w:jc w:val="center"/>
      </w:pPr>
      <w:r>
        <w:rPr>
          <w:rFonts w:ascii="Courier New" w:cs="Courier New" w:eastAsia="Courier New" w:hAnsi="Courier New"/>
          <w:b/>
          <w:bCs/>
          <w:color w:val="1A3A5C"/>
          <w:sz w:val="21"/>
          <w:szCs w:val="21"/>
        </w:rPr>
        <w:t xml:space="preserve">Δh = h(E_Δt) − h_rand,   h_rand = Σ_c (n_c / N)²</w:t>
      </w:r>
    </w:p>
    <w:p>
      <w:pPr>
        <w:spacing w:before="160" w:after="160"/>
        <w:jc w:val="center"/>
      </w:pPr>
      <w:r>
        <w:rPr>
          <w:rFonts w:ascii="Courier New" w:cs="Courier New" w:eastAsia="Courier New" w:hAnsi="Courier New"/>
          <w:b/>
          <w:bCs/>
          <w:color w:val="1A3A5C"/>
          <w:sz w:val="21"/>
          <w:szCs w:val="21"/>
        </w:rPr>
        <w:t xml:space="preserve">h(E_Δt) = |{(u,v) ∈ E_Δt ∩ V_Cora² : y_u = y_v}| / |E_Δt ∩ V_Cora²|</w:t>
      </w:r>
    </w:p>
    <w:p>
      <w:pPr>
        <w:pStyle w:val="ListParagraph"/>
        <w:numPr>
          <w:ilvl w:val="0"/>
          <w:numId w:val="3"/>
        </w:numPr>
        <w:spacing w:before="60" w:after="60"/>
      </w:pPr>
      <w:r>
        <w:rPr>
          <w:rFonts w:ascii="Courier New" w:cs="Courier New" w:eastAsia="Courier New" w:hAnsi="Courier New"/>
          <w:b/>
          <w:bCs/>
          <w:color w:val="1A3A5C"/>
          <w:sz w:val="21"/>
          <w:szCs w:val="21"/>
        </w:rPr>
        <w:t xml:space="preserve">Δh &gt; 0</w:t>
      </w:r>
      <w:r>
        <w:rPr>
          <w:rFonts w:ascii="Arial" w:cs="Arial" w:eastAsia="Arial" w:hAnsi="Arial"/>
          <w:color w:val="111111"/>
          <w:sz w:val="22"/>
          <w:szCs w:val="22"/>
        </w:rPr>
        <w:t xml:space="preserve"> → anabolic drift: Zaratustra builds semantically coherent bridges</w:t>
      </w:r>
    </w:p>
    <w:p>
      <w:pPr>
        <w:pStyle w:val="ListParagraph"/>
        <w:numPr>
          <w:ilvl w:val="0"/>
          <w:numId w:val="3"/>
        </w:numPr>
        <w:spacing w:before="60" w:after="60"/>
      </w:pPr>
      <w:r>
        <w:rPr>
          <w:rFonts w:ascii="Courier New" w:cs="Courier New" w:eastAsia="Courier New" w:hAnsi="Courier New"/>
          <w:b/>
          <w:bCs/>
          <w:color w:val="1A3A5C"/>
          <w:sz w:val="21"/>
          <w:szCs w:val="21"/>
        </w:rPr>
        <w:t xml:space="preserve">Δh ≈ 0</w:t>
      </w:r>
      <w:r>
        <w:rPr>
          <w:rFonts w:ascii="Arial" w:cs="Arial" w:eastAsia="Arial" w:hAnsi="Arial"/>
          <w:color w:val="111111"/>
          <w:sz w:val="22"/>
          <w:szCs w:val="22"/>
        </w:rPr>
        <w:t xml:space="preserve"> → structurally neutral (Off mode)</w:t>
      </w:r>
    </w:p>
    <w:p>
      <w:pPr>
        <w:pStyle w:val="ListParagraph"/>
        <w:numPr>
          <w:ilvl w:val="0"/>
          <w:numId w:val="3"/>
        </w:numPr>
        <w:spacing w:before="60" w:after="60"/>
      </w:pPr>
      <w:r>
        <w:rPr>
          <w:rFonts w:ascii="Courier New" w:cs="Courier New" w:eastAsia="Courier New" w:hAnsi="Courier New"/>
          <w:b/>
          <w:bCs/>
          <w:color w:val="1A3A5C"/>
          <w:sz w:val="21"/>
          <w:szCs w:val="21"/>
        </w:rPr>
        <w:t xml:space="preserve">Δh &lt; 0</w:t>
      </w:r>
      <w:r>
        <w:rPr>
          <w:rFonts w:ascii="Arial" w:cs="Arial" w:eastAsia="Arial" w:hAnsi="Arial"/>
          <w:color w:val="111111"/>
          <w:sz w:val="22"/>
          <w:szCs w:val="22"/>
        </w:rPr>
        <w:t xml:space="preserve"> → catabolic drift: Zaratustra connects noise</w:t>
      </w:r>
    </w:p>
    <w:p>
      <w:pPr>
        <w:spacing w:before="6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b/>
          <w:bCs/>
          <w:color w:val="111111"/>
          <w:sz w:val="22"/>
          <w:szCs w:val="22"/>
        </w:rPr>
        <w:t xml:space="preserve">Predicted ranking: </w:t>
      </w:r>
      <w:r>
        <w:rPr>
          <w:rFonts w:ascii="Courier New" w:cs="Courier New" w:eastAsia="Courier New" w:hAnsi="Courier New"/>
          <w:b/>
          <w:bCs/>
          <w:color w:val="1A3A5C"/>
          <w:sz w:val="21"/>
          <w:szCs w:val="21"/>
        </w:rPr>
        <w:t xml:space="preserve">Δh_Normal &gt; Δh_Off ≈ 0 &gt; Δh_Inverted</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6.3  Node Classification Accuracy — Linear Probe (NCA)</w:t>
      </w:r>
    </w:p>
    <w:p>
      <w:pPr>
        <w:spacing w:before="160" w:after="160"/>
        <w:jc w:val="center"/>
      </w:pPr>
      <w:r>
        <w:rPr>
          <w:rFonts w:ascii="Courier New" w:cs="Courier New" w:eastAsia="Courier New" w:hAnsi="Courier New"/>
          <w:b/>
          <w:bCs/>
          <w:color w:val="1A3A5C"/>
          <w:sz w:val="21"/>
          <w:szCs w:val="21"/>
        </w:rPr>
        <w:t xml:space="preserve">NCA_t = (1/K) Σ_k  Acc( f̂_θ^(k),  V_test^(k) )</w:t>
      </w:r>
    </w:p>
    <w:p>
      <w:pPr>
        <w:spacing w:before="80" w:after="100" w:line="290"/>
        <w:jc w:val="both"/>
      </w:pPr>
      <w:r>
        <w:rPr>
          <w:rFonts w:ascii="Arial" w:cs="Arial" w:eastAsia="Arial" w:hAnsi="Arial"/>
          <w:color w:val="111111"/>
          <w:sz w:val="22"/>
          <w:szCs w:val="22"/>
        </w:rPr>
        <w:t xml:space="preserve">After embedding drift at cycle t, a linear probe is fit via stratified K-fold cross-validation on Cora node embeddings H_t[V_Cora]. This measures whether drift preserved semantic structure. Anabolic drift (Normal) compresses within-class variance by pulling nodes toward elite anchors → improves linear separability. Catabolic drift (Inverted) fragments clusters toward the boundary.</w:t>
      </w:r>
    </w:p>
    <w:p>
      <w:pPr>
        <w:spacing w:before="6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b/>
          <w:bCs/>
          <w:color w:val="111111"/>
          <w:sz w:val="22"/>
          <w:szCs w:val="22"/>
        </w:rPr>
        <w:t xml:space="preserve">Predicted ranking: </w:t>
      </w:r>
      <w:r>
        <w:rPr>
          <w:rFonts w:ascii="Courier New" w:cs="Courier New" w:eastAsia="Courier New" w:hAnsi="Courier New"/>
          <w:b/>
          <w:bCs/>
          <w:color w:val="1A3A5C"/>
          <w:sz w:val="21"/>
          <w:szCs w:val="21"/>
        </w:rPr>
        <w:t xml:space="preserve">NCA_Normal ≥ NCA_Off &gt; NCA_Inverted</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6.4  The Corrected Theorem</w:t>
      </w:r>
    </w:p>
    <w:p>
      <w:pPr>
        <w:spacing w:before="60" w:after="0"/>
      </w:pPr>
      <w:r>
        <w:rPr>
          <w:rFonts w:ascii="Arial" w:cs="Arial" w:eastAsia="Arial" w:hAnsi="Arial"/>
          <w:color w:val="111111"/>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E8F0FB" w:val="clear"/>
            <w:tcMar>
              <w:top w:type="dxa" w:w="120"/>
              <w:left w:type="dxa" w:w="220"/>
              <w:bottom w:type="dxa" w:w="120"/>
              <w:right w:type="dxa" w:w="180"/>
            </w:tcMar>
          </w:tcPr>
          <w:p>
            <w:pPr>
              <w:spacing w:before="0" w:after="0" w:line="290"/>
              <w:jc w:val="both"/>
            </w:pPr>
            <w:r>
              <w:rPr>
                <w:rFonts w:ascii="Arial" w:cs="Arial" w:eastAsia="Arial" w:hAnsi="Arial"/>
                <w:b/>
                <w:bCs/>
                <w:color w:val="111111"/>
                <w:sz w:val="22"/>
                <w:szCs w:val="22"/>
              </w:rPr>
              <w:t xml:space="preserve">Theorem (Corrected Ranking). </w:t>
            </w:r>
            <w:r>
              <w:rPr>
                <w:rFonts w:ascii="Arial" w:cs="Arial" w:eastAsia="Arial" w:hAnsi="Arial"/>
                <w:color w:val="111111"/>
                <w:sz w:val="22"/>
                <w:szCs w:val="22"/>
              </w:rPr>
              <w:t xml:space="preserve">Under the adaptive evaluation framework: </w:t>
            </w:r>
            <w:r>
              <w:rPr>
                <w:rFonts w:ascii="Courier New" w:cs="Courier New" w:eastAsia="Courier New" w:hAnsi="Courier New"/>
                <w:b/>
                <w:bCs/>
                <w:color w:val="1A3A5C"/>
                <w:sz w:val="21"/>
                <w:szCs w:val="21"/>
              </w:rPr>
              <w:t xml:space="preserve">Normal ≻ Off ≻ Inverted</w:t>
            </w:r>
            <w:r>
              <w:rPr>
                <w:rFonts w:ascii="Arial" w:cs="Arial" w:eastAsia="Arial" w:hAnsi="Arial"/>
                <w:color w:val="111111"/>
                <w:sz w:val="22"/>
                <w:szCs w:val="22"/>
              </w:rPr>
              <w:t xml:space="preserve"> on {AUC_synth, Δh, NCA}. This ranking is causal — it measures the quality of structure being built, not the memory of structure given.</w:t>
            </w:r>
          </w:p>
        </w:tc>
      </w:tr>
    </w:tbl>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7. The General Principle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F4F6F9" w:val="clear"/>
            <w:tcMar>
              <w:top w:type="dxa" w:w="120"/>
              <w:left w:type="dxa" w:w="220"/>
              <w:bottom w:type="dxa" w:w="120"/>
              <w:right w:type="dxa" w:w="180"/>
            </w:tcMar>
          </w:tcPr>
          <w:p>
            <w:pPr>
              <w:spacing w:before="0" w:after="0" w:line="290"/>
              <w:jc w:val="both"/>
            </w:pPr>
            <w:r>
              <w:rPr>
                <w:rFonts w:ascii="Arial" w:cs="Arial" w:eastAsia="Arial" w:hAnsi="Arial"/>
                <w:b/>
                <w:bCs/>
                <w:color w:val="111111"/>
                <w:sz w:val="22"/>
                <w:szCs w:val="22"/>
              </w:rPr>
              <w:t xml:space="preserve">The Adaptive Penalty Theorem (informal): </w:t>
            </w:r>
            <w:r>
              <w:rPr>
                <w:rFonts w:ascii="Arial" w:cs="Arial" w:eastAsia="Arial" w:hAnsi="Arial"/>
                <w:color w:val="111111"/>
                <w:sz w:val="22"/>
                <w:szCs w:val="22"/>
              </w:rPr>
              <w:t xml:space="preserve">Any evaluation metric that measures a system's fidelity to a static ground truth will systematically underestimate — and may invert the ranking of — systems that learn by restructuring. The degree of underestimation is proportional to the system's learning rate.</w:t>
            </w:r>
          </w:p>
        </w:tc>
      </w:tr>
    </w:tbl>
    <w:p>
      <w:pPr>
        <w:spacing w:before="8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color w:val="111111"/>
          <w:sz w:val="22"/>
          <w:szCs w:val="22"/>
        </w:rPr>
        <w:t xml:space="preserve">Formally: let M_static be any evaluation metric defined over a fixed test split T_0 = (E_test, V_0). Let S be a generative system that modifies V and E over time. Then there exist operational modes of S such that:</w:t>
      </w:r>
    </w:p>
    <w:p>
      <w:pPr>
        <w:spacing w:before="160" w:after="160"/>
        <w:jc w:val="center"/>
      </w:pPr>
      <w:r>
        <w:rPr>
          <w:rFonts w:ascii="Courier New" w:cs="Courier New" w:eastAsia="Courier New" w:hAnsi="Courier New"/>
          <w:b/>
          <w:bCs/>
          <w:color w:val="1A3A5C"/>
          <w:sz w:val="21"/>
          <w:szCs w:val="21"/>
        </w:rPr>
        <w:t xml:space="preserve">∂M_static(S_t) / ∂‖S_t − S_0‖ &lt; 0</w:t>
      </w:r>
    </w:p>
    <w:p>
      <w:pPr>
        <w:spacing w:before="80" w:after="100" w:line="290"/>
        <w:jc w:val="both"/>
      </w:pPr>
      <w:r>
        <w:rPr>
          <w:rFonts w:ascii="Arial" w:cs="Arial" w:eastAsia="Arial" w:hAnsi="Arial"/>
          <w:color w:val="111111"/>
          <w:sz w:val="22"/>
          <w:szCs w:val="22"/>
        </w:rPr>
        <w:t xml:space="preserve">where ‖S_t − S_0‖ measures how much the system has changed from its initial configuration. This applies to: continual learning GNNs, knowledge graph completion with active entity generation, recommendation systems with dynamic embeddings, any system where the embedding space is non-stationary.</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7.1  TGC as an Order Parameter</w:t>
      </w:r>
    </w:p>
    <w:p>
      <w:pPr>
        <w:spacing w:before="80" w:after="100" w:line="290"/>
        <w:jc w:val="both"/>
      </w:pPr>
      <w:r>
        <w:rPr>
          <w:rFonts w:ascii="Arial" w:cs="Arial" w:eastAsia="Arial" w:hAnsi="Arial"/>
          <w:color w:val="111111"/>
          <w:sz w:val="22"/>
          <w:szCs w:val="22"/>
        </w:rPr>
        <w:t xml:space="preserve">The empirical result </w:t>
      </w:r>
      <w:r>
        <w:rPr>
          <w:rFonts w:ascii="Courier New" w:cs="Courier New" w:eastAsia="Courier New" w:hAnsi="Courier New"/>
          <w:b/>
          <w:bCs/>
          <w:color w:val="1A3A5C"/>
          <w:sz w:val="21"/>
          <w:szCs w:val="21"/>
        </w:rPr>
        <w:t xml:space="preserve">r(TGC, AUC) &gt; 0.84</w:t>
      </w:r>
      <w:r>
        <w:rPr>
          <w:rFonts w:ascii="Arial" w:cs="Arial" w:eastAsia="Arial" w:hAnsi="Arial"/>
          <w:color w:val="111111"/>
          <w:sz w:val="22"/>
          <w:szCs w:val="22"/>
        </w:rPr>
        <w:t xml:space="preserve"> across all conditions establishes TGC as an </w:t>
      </w:r>
      <w:r>
        <w:rPr>
          <w:rFonts w:ascii="Arial" w:cs="Arial" w:eastAsia="Arial" w:hAnsi="Arial"/>
          <w:b/>
          <w:bCs/>
          <w:color w:val="111111"/>
          <w:sz w:val="22"/>
          <w:szCs w:val="22"/>
        </w:rPr>
        <w:t xml:space="preserve">order parameter</w:t>
      </w:r>
      <w:r>
        <w:rPr>
          <w:rFonts w:ascii="Arial" w:cs="Arial" w:eastAsia="Arial" w:hAnsi="Arial"/>
          <w:color w:val="111111"/>
          <w:sz w:val="22"/>
          <w:szCs w:val="22"/>
        </w:rPr>
        <w:t xml:space="preserve"> in the statistical mechanics sense: a macroscopic quantity characterizing system state independently of microscopic details. The anchoring policy (Normal/Off/Inverted) is the microscopic control parameter. TGC is the macroscopic response. AUC is the observable.</w:t>
      </w:r>
    </w:p>
    <w:p>
      <w:pPr>
        <w:spacing w:before="80" w:after="100" w:line="290"/>
        <w:jc w:val="both"/>
      </w:pPr>
      <w:r>
        <w:rPr>
          <w:rFonts w:ascii="Arial" w:cs="Arial" w:eastAsia="Arial" w:hAnsi="Arial"/>
          <w:color w:val="111111"/>
          <w:sz w:val="22"/>
          <w:szCs w:val="22"/>
        </w:rPr>
        <w:t xml:space="preserve">The relationship ∂AUC/∂TGC &gt; 0 persists across all three policy regimes — it is a property of the system's thermodynamics, not an artifact of the policy choice. This makes TGC a universal predictor.</w:t>
      </w:r>
    </w:p>
    <w:p>
      <w:pPr>
        <w:spacing w:before="80" w:after="0"/>
      </w:pPr>
      <w:r>
        <w:rPr>
          <w:rFonts w:ascii="Arial" w:cs="Arial" w:eastAsia="Arial" w:hAnsi="Arial"/>
          <w:color w:val="111111"/>
          <w:sz w:val="22"/>
          <w:szCs w:val="22"/>
        </w:rPr>
        <w:t xml:space="preserve"/>
      </w:r>
    </w:p>
    <w:p>
      <w:pPr>
        <w:pStyle w:val="Heading2"/>
        <w:spacing w:before="280" w:after="80"/>
      </w:pPr>
      <w:r>
        <w:rPr>
          <w:rFonts w:ascii="Arial" w:cs="Arial" w:eastAsia="Arial" w:hAnsi="Arial"/>
          <w:b/>
          <w:bCs/>
          <w:color w:val="1A3A5C"/>
          <w:sz w:val="24"/>
          <w:szCs w:val="24"/>
        </w:rPr>
        <w:t xml:space="preserve">7.2  Implications for AI Evaluation</w:t>
      </w:r>
    </w:p>
    <w:p>
      <w:pPr>
        <w:spacing w:before="80" w:after="100" w:line="290"/>
        <w:jc w:val="both"/>
      </w:pPr>
      <w:r>
        <w:rPr>
          <w:rFonts w:ascii="Arial" w:cs="Arial" w:eastAsia="Arial" w:hAnsi="Arial"/>
          <w:color w:val="111111"/>
          <w:sz w:val="22"/>
          <w:szCs w:val="22"/>
        </w:rPr>
        <w:t xml:space="preserve">The standard ML evaluation pipeline assumes: better system ⟹ higher benchmark score. Our results demonstrate a class of systems for which: more intelligent system ⟹ lower benchmark score. This is not a pathological edge case. It is the expected behavior of any generative system evaluated with static tools. A significant fraction of generative AI systems in the literature may be systematically misranked — with the most cognitively active variants appearing worst on standard benchmarks.</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8. Discussion</w:t>
      </w:r>
    </w:p>
    <w:p>
      <w:pPr>
        <w:pStyle w:val="Heading2"/>
        <w:spacing w:before="280" w:after="80"/>
      </w:pPr>
      <w:r>
        <w:rPr>
          <w:rFonts w:ascii="Arial" w:cs="Arial" w:eastAsia="Arial" w:hAnsi="Arial"/>
          <w:b/>
          <w:bCs/>
          <w:color w:val="1A3A5C"/>
          <w:sz w:val="24"/>
          <w:szCs w:val="24"/>
        </w:rPr>
        <w:t xml:space="preserve">8.1  Relationship to Neuroplasticity</w:t>
      </w:r>
    </w:p>
    <w:p>
      <w:pPr>
        <w:spacing w:before="80" w:after="100" w:line="290"/>
        <w:jc w:val="both"/>
      </w:pPr>
      <w:r>
        <w:rPr>
          <w:rFonts w:ascii="Arial" w:cs="Arial" w:eastAsia="Arial" w:hAnsi="Arial"/>
          <w:color w:val="111111"/>
          <w:sz w:val="22"/>
          <w:szCs w:val="22"/>
        </w:rPr>
        <w:t xml:space="preserve">The analogy to biological neuroplasticity is not rhetorical. In neural systems, synaptic reorganization produces short-term performance degradation on previously acquired tasks — the stability-plasticity dilemma [Abraham &amp; Robins, 2005]. NietzscheDB's behavior is the graph-computational analog: the system degrades on the old benchmark precisely because it is building new structure. The degradation is the signature of learning, not its failure.</w:t>
      </w:r>
    </w:p>
    <w:p>
      <w:pPr>
        <w:pStyle w:val="Heading2"/>
        <w:spacing w:before="280" w:after="80"/>
      </w:pPr>
      <w:r>
        <w:rPr>
          <w:rFonts w:ascii="Arial" w:cs="Arial" w:eastAsia="Arial" w:hAnsi="Arial"/>
          <w:b/>
          <w:bCs/>
          <w:color w:val="1A3A5C"/>
          <w:sz w:val="24"/>
          <w:szCs w:val="24"/>
        </w:rPr>
        <w:t xml:space="preserve">8.2  Limitations</w:t>
      </w:r>
    </w:p>
    <w:p>
      <w:pPr>
        <w:spacing w:before="80" w:after="100" w:line="290"/>
        <w:jc w:val="both"/>
      </w:pPr>
      <w:r>
        <w:rPr>
          <w:rFonts w:ascii="Arial" w:cs="Arial" w:eastAsia="Arial" w:hAnsi="Arial"/>
          <w:color w:val="111111"/>
          <w:sz w:val="22"/>
          <w:szCs w:val="22"/>
        </w:rPr>
        <w:t xml:space="preserve">The current empirical validation is limited to the Cora dataset and a specific GNN architecture. The generality of the Adaptive Penalty Theorem is theoretical; its empirical generality across datasets, architectures, and geometric spaces requires further investigation. The corrective metrics assume the availability of node labels for homophily and NCA computations.</w:t>
      </w:r>
    </w:p>
    <w:p>
      <w:pPr>
        <w:pStyle w:val="Heading2"/>
        <w:spacing w:before="280" w:after="80"/>
      </w:pPr>
      <w:r>
        <w:rPr>
          <w:rFonts w:ascii="Arial" w:cs="Arial" w:eastAsia="Arial" w:hAnsi="Arial"/>
          <w:b/>
          <w:bCs/>
          <w:color w:val="1A3A5C"/>
          <w:sz w:val="24"/>
          <w:szCs w:val="24"/>
        </w:rPr>
        <w:t xml:space="preserve">8.3  Open Questions</w:t>
      </w:r>
    </w:p>
    <w:p>
      <w:pPr>
        <w:spacing w:before="80" w:after="100" w:line="290"/>
        <w:jc w:val="both"/>
      </w:pPr>
      <w:r>
        <w:rPr>
          <w:rFonts w:ascii="Arial" w:cs="Arial" w:eastAsia="Arial" w:hAnsi="Arial"/>
          <w:color w:val="111111"/>
          <w:sz w:val="22"/>
          <w:szCs w:val="22"/>
        </w:rPr>
        <w:t xml:space="preserve">The most important open question is whether the corrective evaluation framework changes published rankings in existing dynamic graph learning literature. We conjecture that many systems reported as inferior to static baselines in fact exhibit the Adaptive Penalty pattern — their apparent weakness is an artifact of measurement, not architecture.</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9. Conclusion</w:t>
      </w:r>
    </w:p>
    <w:p>
      <w:pPr>
        <w:spacing w:before="80" w:after="100" w:line="290"/>
        <w:jc w:val="both"/>
      </w:pPr>
      <w:r>
        <w:rPr>
          <w:rFonts w:ascii="Arial" w:cs="Arial" w:eastAsia="Arial" w:hAnsi="Arial"/>
          <w:color w:val="111111"/>
          <w:sz w:val="22"/>
          <w:szCs w:val="22"/>
        </w:rPr>
        <w:t xml:space="preserve">We have identified, formalized, and empirically demonstrated a fundamental flaw in the evaluation of generative graph systems: the Adaptive Penalty Trap. Static benchmarks invert the true performance ranking of systems that learn by restructuring.</w:t>
      </w:r>
    </w:p>
    <w:p>
      <w:pPr>
        <w:spacing w:before="80" w:after="100" w:line="290"/>
        <w:jc w:val="both"/>
      </w:pPr>
      <w:r>
        <w:rPr>
          <w:rFonts w:ascii="Arial" w:cs="Arial" w:eastAsia="Arial" w:hAnsi="Arial"/>
          <w:color w:val="111111"/>
          <w:sz w:val="22"/>
          <w:szCs w:val="22"/>
        </w:rPr>
        <w:t xml:space="preserve">The Topological Growth Coefficient (TGC) emerges as a universal order parameter: tracking the causal relationship between structural expansion and inferential performance across all operational conditions, independently of anchoring policy, with r &gt; 0.84 and p &lt; 10⁻²⁷.</w:t>
      </w:r>
    </w:p>
    <w:p>
      <w:pPr>
        <w:spacing w:before="80" w:after="100" w:line="290"/>
        <w:jc w:val="both"/>
      </w:pPr>
      <w:r>
        <w:rPr>
          <w:rFonts w:ascii="Arial" w:cs="Arial" w:eastAsia="Arial" w:hAnsi="Arial"/>
          <w:color w:val="111111"/>
          <w:sz w:val="22"/>
          <w:szCs w:val="22"/>
        </w:rPr>
        <w:t xml:space="preserve">The corrective evaluation framework — Generative Coherence AUC, Homophily Delta, and NCA — restores the correct ordinal ranking and provides structural immunity to foam inflation artifacts.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2"/>
              <w:left w:val="thick" w:color="1A3A5C" w:sz="28"/>
              <w:bottom w:val="single" w:color="CCCCCC" w:sz="2"/>
              <w:right w:val="none" w:color="FFFFFF" w:sz="0"/>
            </w:tcBorders>
            <w:shd w:fill="F4F6F9" w:val="clear"/>
            <w:tcMar>
              <w:top w:type="dxa" w:w="120"/>
              <w:left w:type="dxa" w:w="220"/>
              <w:bottom w:type="dxa" w:w="120"/>
              <w:right w:type="dxa" w:w="180"/>
            </w:tcMar>
          </w:tcPr>
          <w:p>
            <w:pPr>
              <w:spacing w:before="0" w:after="0" w:line="290"/>
              <w:jc w:val="both"/>
            </w:pPr>
            <w:r>
              <w:rPr>
                <w:rFonts w:ascii="Arial" w:cs="Arial" w:eastAsia="Arial" w:hAnsi="Arial"/>
                <w:color w:val="111111"/>
                <w:sz w:val="22"/>
                <w:szCs w:val="22"/>
              </w:rPr>
              <w:t xml:space="preserve">As AI systems become more generative, more dynamic, and more self-organizing, the evaluation infrastructure must evolve with them. </w:t>
            </w:r>
            <w:r>
              <w:rPr>
                <w:rFonts w:ascii="Arial" w:cs="Arial" w:eastAsia="Arial" w:hAnsi="Arial"/>
                <w:b/>
                <w:bCs/>
                <w:color w:val="111111"/>
                <w:sz w:val="22"/>
                <w:szCs w:val="22"/>
              </w:rPr>
              <w:t xml:space="preserve">A system that appears to be failing may, in fact, be in the process of becoming more intelligent. </w:t>
            </w:r>
            <w:r>
              <w:rPr>
                <w:rFonts w:ascii="Arial" w:cs="Arial" w:eastAsia="Arial" w:hAnsi="Arial"/>
                <w:color w:val="111111"/>
                <w:sz w:val="22"/>
                <w:szCs w:val="22"/>
              </w:rPr>
              <w:t xml:space="preserve">The ability to distinguish these two states is not a technical convenience — it is a prerequisite for the scientific validity of the field.</w:t>
            </w:r>
          </w:p>
        </w:tc>
      </w:tr>
    </w:tbl>
    <w:p>
      <w:pPr>
        <w:spacing w:before="160" w:after="0"/>
      </w:pPr>
      <w:r>
        <w:rPr>
          <w:rFonts w:ascii="Arial" w:cs="Arial" w:eastAsia="Arial" w:hAnsi="Arial"/>
          <w:color w:val="111111"/>
          <w:sz w:val="22"/>
          <w:szCs w:val="22"/>
        </w:rPr>
        <w:t xml:space="preserve"/>
      </w:r>
    </w:p>
    <w:p>
      <w:pPr>
        <w:pBdr>
          <w:bottom w:val="single" w:color="CCCCCC" w:sz="4" w:space="1"/>
        </w:pBdr>
        <w:spacing w:before="220" w:after="22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References</w:t>
      </w:r>
    </w:p>
    <w:p>
      <w:pPr>
        <w:spacing w:before="80" w:after="100" w:line="290"/>
        <w:jc w:val="both"/>
      </w:pPr>
      <w:r>
        <w:rPr>
          <w:rFonts w:ascii="Arial" w:cs="Arial" w:eastAsia="Arial" w:hAnsi="Arial"/>
          <w:color w:val="111111"/>
          <w:sz w:val="22"/>
          <w:szCs w:val="22"/>
        </w:rPr>
        <w:t xml:space="preserve">Abraham, W. C., &amp; Robins, A. (2005). Memory retention — the synaptic stability versus plasticity dilemma. Trends in Neurosciences, 28(2), 73–78.</w:t>
      </w:r>
    </w:p>
    <w:p>
      <w:pPr>
        <w:spacing w:before="80" w:after="100" w:line="290"/>
        <w:jc w:val="both"/>
      </w:pPr>
      <w:r>
        <w:rPr>
          <w:rFonts w:ascii="Arial" w:cs="Arial" w:eastAsia="Arial" w:hAnsi="Arial"/>
          <w:color w:val="111111"/>
          <w:sz w:val="22"/>
          <w:szCs w:val="22"/>
        </w:rPr>
        <w:t xml:space="preserve">Chami, I., Ying, Z., Ré, C., &amp; Leskovec, J. (2019). Hyperbolic graph convolutional neural networks. NeurIPS 2019.</w:t>
      </w:r>
    </w:p>
    <w:p>
      <w:pPr>
        <w:spacing w:before="80" w:after="100" w:line="290"/>
        <w:jc w:val="both"/>
      </w:pPr>
      <w:r>
        <w:rPr>
          <w:rFonts w:ascii="Arial" w:cs="Arial" w:eastAsia="Arial" w:hAnsi="Arial"/>
          <w:color w:val="111111"/>
          <w:sz w:val="22"/>
          <w:szCs w:val="22"/>
        </w:rPr>
        <w:t xml:space="preserve">De Lange, M., et al. (2022). A continual learning survey: Defying forgetting in classification tasks. IEEE TPAMI, 44(7), 3366–3385.</w:t>
      </w:r>
    </w:p>
    <w:p>
      <w:pPr>
        <w:spacing w:before="80" w:after="100" w:line="290"/>
        <w:jc w:val="both"/>
      </w:pPr>
      <w:r>
        <w:rPr>
          <w:rFonts w:ascii="Arial" w:cs="Arial" w:eastAsia="Arial" w:hAnsi="Arial"/>
          <w:color w:val="111111"/>
          <w:sz w:val="22"/>
          <w:szCs w:val="22"/>
        </w:rPr>
        <w:t xml:space="preserve">Hamilton, W., Ying, Z., &amp; Leskovec, J. (2017). Inductive representation learning on large graphs. NeurIPS 2017.</w:t>
      </w:r>
    </w:p>
    <w:p>
      <w:pPr>
        <w:spacing w:before="80" w:after="100" w:line="290"/>
        <w:jc w:val="both"/>
      </w:pPr>
      <w:r>
        <w:rPr>
          <w:rFonts w:ascii="Arial" w:cs="Arial" w:eastAsia="Arial" w:hAnsi="Arial"/>
          <w:color w:val="111111"/>
          <w:sz w:val="22"/>
          <w:szCs w:val="22"/>
        </w:rPr>
        <w:t xml:space="preserve">Kazemi, S. M., et al. (2020). Representation learning for dynamic graphs: A survey. JMLR, 21(70), 1–73.</w:t>
      </w:r>
    </w:p>
    <w:p>
      <w:pPr>
        <w:spacing w:before="80" w:after="100" w:line="290"/>
        <w:jc w:val="both"/>
      </w:pPr>
      <w:r>
        <w:rPr>
          <w:rFonts w:ascii="Arial" w:cs="Arial" w:eastAsia="Arial" w:hAnsi="Arial"/>
          <w:color w:val="111111"/>
          <w:sz w:val="22"/>
          <w:szCs w:val="22"/>
        </w:rPr>
        <w:t xml:space="preserve">Kipf, T. N., &amp; Welling, M. (2017). Semi-supervised classification with graph convolutional networks. ICLR 2017.</w:t>
      </w:r>
    </w:p>
    <w:p>
      <w:pPr>
        <w:spacing w:before="80" w:after="100" w:line="290"/>
        <w:jc w:val="both"/>
      </w:pPr>
      <w:r>
        <w:rPr>
          <w:rFonts w:ascii="Arial" w:cs="Arial" w:eastAsia="Arial" w:hAnsi="Arial"/>
          <w:color w:val="111111"/>
          <w:sz w:val="22"/>
          <w:szCs w:val="22"/>
        </w:rPr>
        <w:t xml:space="preserve">Nickel, M., &amp; Kiela, D. (2017). Poincaré embeddings for learning hierarchical representations. NeurIPS 2017.</w:t>
      </w:r>
    </w:p>
    <w:p>
      <w:pPr>
        <w:spacing w:before="80" w:after="100" w:line="290"/>
        <w:jc w:val="both"/>
      </w:pPr>
      <w:r>
        <w:rPr>
          <w:rFonts w:ascii="Arial" w:cs="Arial" w:eastAsia="Arial" w:hAnsi="Arial"/>
          <w:color w:val="111111"/>
          <w:sz w:val="22"/>
          <w:szCs w:val="22"/>
        </w:rPr>
        <w:t xml:space="preserve">Parisi, G. I., et al. (2019). Continual lifelong learning with neural networks: A review. Neural Networks, 113, 54–71.</w:t>
      </w:r>
    </w:p>
    <w:p>
      <w:pPr>
        <w:spacing w:before="80" w:after="100" w:line="290"/>
        <w:jc w:val="both"/>
      </w:pPr>
      <w:r>
        <w:rPr>
          <w:rFonts w:ascii="Arial" w:cs="Arial" w:eastAsia="Arial" w:hAnsi="Arial"/>
          <w:color w:val="111111"/>
          <w:sz w:val="22"/>
          <w:szCs w:val="22"/>
        </w:rPr>
        <w:t xml:space="preserve">Rossi, E., et al. (2020). Temporal graph networks for deep learning on dynamic graphs. ICML 2020 Workshop.</w:t>
      </w:r>
    </w:p>
    <w:p>
      <w:pPr>
        <w:spacing w:before="80" w:after="100" w:line="290"/>
        <w:jc w:val="both"/>
      </w:pPr>
      <w:r>
        <w:rPr>
          <w:rFonts w:ascii="Arial" w:cs="Arial" w:eastAsia="Arial" w:hAnsi="Arial"/>
          <w:color w:val="111111"/>
          <w:sz w:val="22"/>
          <w:szCs w:val="22"/>
        </w:rPr>
        <w:t xml:space="preserve">Zhang, M., &amp; Chen, Y. (2018). Link prediction based on graph neural networks. NeurIPS 2018.</w:t>
      </w:r>
    </w:p>
    <w:p>
      <w:pPr>
        <w:spacing w:before="120" w:after="0"/>
      </w:pPr>
      <w:r>
        <w:rPr>
          <w:rFonts w:ascii="Arial" w:cs="Arial" w:eastAsia="Arial" w:hAnsi="Arial"/>
          <w:color w:val="111111"/>
          <w:sz w:val="22"/>
          <w:szCs w:val="22"/>
        </w:rPr>
        <w:t xml:space="preserve"/>
      </w:r>
    </w:p>
    <w:p>
      <w:pPr>
        <w:pBdr>
          <w:bottom w:val="single" w:color="CCCCCC" w:sz="4" w:space="1"/>
        </w:pBdr>
        <w:spacing w:before="220" w:after="22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Appendix A: Proof of Foam Inflation Monotonicity</w:t>
      </w:r>
    </w:p>
    <w:p>
      <w:pPr>
        <w:spacing w:before="80" w:after="100" w:line="290"/>
        <w:jc w:val="both"/>
      </w:pPr>
      <w:r>
        <w:rPr>
          <w:rFonts w:ascii="Arial" w:cs="Arial" w:eastAsia="Arial" w:hAnsi="Arial"/>
          <w:b/>
          <w:bCs/>
          <w:color w:val="111111"/>
          <w:sz w:val="22"/>
          <w:szCs w:val="22"/>
        </w:rPr>
        <w:t xml:space="preserve">Proposition: </w:t>
      </w:r>
      <w:r>
        <w:rPr>
          <w:rFonts w:ascii="Arial" w:cs="Arial" w:eastAsia="Arial" w:hAnsi="Arial"/>
          <w:color w:val="111111"/>
          <w:sz w:val="22"/>
          <w:szCs w:val="22"/>
        </w:rPr>
        <w:t xml:space="preserve">Under standard negative sampling, AUC_static is monotonically increasing in π_foam (proportion of foam in the negative pool).</w:t>
      </w:r>
    </w:p>
    <w:p>
      <w:pPr>
        <w:spacing w:before="6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b/>
          <w:bCs/>
          <w:color w:val="111111"/>
          <w:sz w:val="22"/>
          <w:szCs w:val="22"/>
        </w:rPr>
        <w:t xml:space="preserve">Proof sketch: </w:t>
      </w:r>
      <w:r>
        <w:rPr>
          <w:rFonts w:ascii="Arial" w:cs="Arial" w:eastAsia="Arial" w:hAnsi="Arial"/>
          <w:color w:val="111111"/>
          <w:sz w:val="22"/>
          <w:szCs w:val="22"/>
        </w:rPr>
        <w:t xml:space="preserve">For any foam node f with ‖f‖ ≥ 1 − ε:</w:t>
      </w:r>
    </w:p>
    <w:p>
      <w:pPr>
        <w:spacing w:before="160" w:after="160"/>
        <w:jc w:val="center"/>
      </w:pPr>
      <w:r>
        <w:rPr>
          <w:rFonts w:ascii="Courier New" w:cs="Courier New" w:eastAsia="Courier New" w:hAnsi="Courier New"/>
          <w:b/>
          <w:bCs/>
          <w:color w:val="1A3A5C"/>
          <w:sz w:val="21"/>
          <w:szCs w:val="21"/>
        </w:rPr>
        <w:t xml:space="preserve">s(f,c) = σ(−d_H(f,c)/τ) ≤ σ(−arccosh(1/ε)/τ)  →  0  as ε → 0</w:t>
      </w:r>
    </w:p>
    <w:p>
      <w:pPr>
        <w:spacing w:before="80" w:after="100" w:line="290"/>
        <w:jc w:val="both"/>
      </w:pPr>
      <w:r>
        <w:rPr>
          <w:rFonts w:ascii="Arial" w:cs="Arial" w:eastAsia="Arial" w:hAnsi="Arial"/>
          <w:color w:val="111111"/>
          <w:sz w:val="22"/>
          <w:szCs w:val="22"/>
        </w:rPr>
        <w:t xml:space="preserve">Since all positive edge scores s(u,v) &gt; δ &gt; 0 for edges within V_Cora (bounded distance), any negative sample replaced by a foam node strictly increases correctly ranked (+,−) pairs, hence strictly increases AUC. □</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Appendix B: TGC Formal Definition</w:t>
      </w:r>
    </w:p>
    <w:p>
      <w:pPr>
        <w:spacing w:before="160" w:after="160"/>
        <w:jc w:val="center"/>
      </w:pPr>
      <w:r>
        <w:rPr>
          <w:rFonts w:ascii="Courier New" w:cs="Courier New" w:eastAsia="Courier New" w:hAnsi="Courier New"/>
          <w:b/>
          <w:bCs/>
          <w:color w:val="1A3A5C"/>
          <w:sz w:val="21"/>
          <w:szCs w:val="21"/>
        </w:rPr>
        <w:t xml:space="preserve">TGC_t = (|E_t \ E_{t-1}| / |V_t|) · (|C_t^max| / |V_t|)</w:t>
      </w:r>
    </w:p>
    <w:p>
      <w:pPr>
        <w:spacing w:before="80" w:after="100" w:line="290"/>
        <w:jc w:val="both"/>
      </w:pPr>
      <w:r>
        <w:rPr>
          <w:rFonts w:ascii="Arial" w:cs="Arial" w:eastAsia="Arial" w:hAnsi="Arial"/>
          <w:color w:val="111111"/>
          <w:sz w:val="22"/>
          <w:szCs w:val="22"/>
        </w:rPr>
        <w:t xml:space="preserve">where </w:t>
      </w:r>
      <w:r>
        <w:rPr>
          <w:rFonts w:ascii="Courier New" w:cs="Courier New" w:eastAsia="Courier New" w:hAnsi="Courier New"/>
          <w:b/>
          <w:bCs/>
          <w:color w:val="1A3A5C"/>
          <w:sz w:val="21"/>
          <w:szCs w:val="21"/>
        </w:rPr>
        <w:t xml:space="preserve">|C_t^max|</w:t>
      </w:r>
      <w:r>
        <w:rPr>
          <w:rFonts w:ascii="Arial" w:cs="Arial" w:eastAsia="Arial" w:hAnsi="Arial"/>
          <w:color w:val="111111"/>
          <w:sz w:val="22"/>
          <w:szCs w:val="22"/>
        </w:rPr>
        <w:t xml:space="preserve"> is the largest connected component size. The second factor penalizes foam: nodes not connecting to the main component reduce TGC. EMA: </w:t>
      </w:r>
      <w:r>
        <w:rPr>
          <w:rFonts w:ascii="Courier New" w:cs="Courier New" w:eastAsia="Courier New" w:hAnsi="Courier New"/>
          <w:b/>
          <w:bCs/>
          <w:color w:val="1A3A5C"/>
          <w:sz w:val="21"/>
          <w:szCs w:val="21"/>
        </w:rPr>
        <w:t xml:space="preserve">TGC̃_t = α·TGC_t + (1−α)·TGC̃_{t-1}</w:t>
      </w:r>
      <w:r>
        <w:rPr>
          <w:rFonts w:ascii="Arial" w:cs="Arial" w:eastAsia="Arial" w:hAnsi="Arial"/>
          <w:color w:val="111111"/>
          <w:sz w:val="22"/>
          <w:szCs w:val="22"/>
        </w:rPr>
        <w:t xml:space="preserve">, α = 0.1.</w:t>
      </w:r>
    </w:p>
    <w:p>
      <w:pPr>
        <w:spacing w:before="80" w:after="0"/>
      </w:pPr>
      <w:r>
        <w:rPr>
          <w:rFonts w:ascii="Arial" w:cs="Arial" w:eastAsia="Arial" w:hAnsi="Arial"/>
          <w:color w:val="111111"/>
          <w:sz w:val="22"/>
          <w:szCs w:val="22"/>
        </w:rPr>
        <w:t xml:space="preserve"/>
      </w:r>
    </w:p>
    <w:p>
      <w:pPr>
        <w:pStyle w:val="Heading1"/>
        <w:pBdr>
          <w:bottom w:val="single" w:color="1A3A5C" w:sz="6" w:space="4"/>
        </w:pBdr>
        <w:spacing w:before="360" w:after="120"/>
      </w:pPr>
      <w:r>
        <w:rPr>
          <w:rFonts w:ascii="Arial" w:cs="Arial" w:eastAsia="Arial" w:hAnsi="Arial"/>
          <w:b/>
          <w:bCs/>
          <w:color w:val="1A3A5C"/>
          <w:sz w:val="28"/>
          <w:szCs w:val="28"/>
        </w:rPr>
        <w:t xml:space="preserve">Appendix C: Corrective Evaluation Suite</w:t>
      </w:r>
    </w:p>
    <w:p>
      <w:pPr>
        <w:spacing w:before="80" w:after="100" w:line="290"/>
        <w:jc w:val="both"/>
      </w:pPr>
      <w:r>
        <w:rPr>
          <w:rFonts w:ascii="Arial" w:cs="Arial" w:eastAsia="Arial" w:hAnsi="Arial"/>
          <w:color w:val="111111"/>
          <w:sz w:val="22"/>
          <w:szCs w:val="22"/>
        </w:rPr>
        <w:t xml:space="preserve">Full implementation available as nietzsche_adaptive_metrics.py (supplementary). Key components:</w:t>
      </w:r>
    </w:p>
    <w:p>
      <w:pPr>
        <w:pStyle w:val="ListParagraph"/>
        <w:numPr>
          <w:ilvl w:val="0"/>
          <w:numId w:val="3"/>
        </w:numPr>
        <w:spacing w:before="60" w:after="60"/>
      </w:pPr>
      <w:r>
        <w:rPr>
          <w:rFonts w:ascii="Courier New" w:cs="Courier New" w:eastAsia="Courier New" w:hAnsi="Courier New"/>
          <w:b/>
          <w:bCs/>
          <w:color w:val="1A3A5C"/>
          <w:sz w:val="21"/>
          <w:szCs w:val="21"/>
        </w:rPr>
        <w:t xml:space="preserve">AdaptiveEvaluator</w:t>
      </w:r>
      <w:r>
        <w:rPr>
          <w:rFonts w:ascii="Arial" w:cs="Arial" w:eastAsia="Arial" w:hAnsi="Arial"/>
          <w:color w:val="111111"/>
          <w:sz w:val="22"/>
          <w:szCs w:val="22"/>
        </w:rPr>
        <w:t xml:space="preserve">: per-condition evaluator computing AUC_synth, Δh, and NCA per cycle.</w:t>
      </w:r>
    </w:p>
    <w:p>
      <w:pPr>
        <w:pStyle w:val="ListParagraph"/>
        <w:numPr>
          <w:ilvl w:val="0"/>
          <w:numId w:val="3"/>
        </w:numPr>
        <w:spacing w:before="60" w:after="60"/>
      </w:pPr>
      <w:r>
        <w:rPr>
          <w:rFonts w:ascii="Courier New" w:cs="Courier New" w:eastAsia="Courier New" w:hAnsi="Courier New"/>
          <w:b/>
          <w:bCs/>
          <w:color w:val="1A3A5C"/>
          <w:sz w:val="21"/>
          <w:szCs w:val="21"/>
        </w:rPr>
        <w:t xml:space="preserve">NietzscheEvaluationSuite</w:t>
      </w:r>
      <w:r>
        <w:rPr>
          <w:rFonts w:ascii="Arial" w:cs="Arial" w:eastAsia="Arial" w:hAnsi="Arial"/>
          <w:color w:val="111111"/>
          <w:sz w:val="22"/>
          <w:szCs w:val="22"/>
        </w:rPr>
        <w:t xml:space="preserve">: orchestrator for all three conditions with shared dashboard and report.</w:t>
      </w:r>
    </w:p>
    <w:p>
      <w:pPr>
        <w:pStyle w:val="ListParagraph"/>
        <w:numPr>
          <w:ilvl w:val="0"/>
          <w:numId w:val="3"/>
        </w:numPr>
        <w:spacing w:before="60" w:after="60"/>
      </w:pPr>
      <w:r>
        <w:rPr>
          <w:rFonts w:ascii="Courier New" w:cs="Courier New" w:eastAsia="Courier New" w:hAnsi="Courier New"/>
          <w:b/>
          <w:bCs/>
          <w:color w:val="1A3A5C"/>
          <w:sz w:val="21"/>
          <w:szCs w:val="21"/>
        </w:rPr>
        <w:t xml:space="preserve">build_evaluation_suite_from_cora()</w:t>
      </w:r>
      <w:r>
        <w:rPr>
          <w:rFonts w:ascii="Arial" w:cs="Arial" w:eastAsia="Arial" w:hAnsi="Arial"/>
          <w:color w:val="111111"/>
          <w:sz w:val="22"/>
          <w:szCs w:val="22"/>
        </w:rPr>
        <w:t xml:space="preserve">: factory function for direct PyG integration.</w:t>
      </w:r>
    </w:p>
    <w:p>
      <w:pPr>
        <w:spacing w:before="60" w:after="0"/>
      </w:pPr>
      <w:r>
        <w:rPr>
          <w:rFonts w:ascii="Arial" w:cs="Arial" w:eastAsia="Arial" w:hAnsi="Arial"/>
          <w:color w:val="111111"/>
          <w:sz w:val="22"/>
          <w:szCs w:val="22"/>
        </w:rPr>
        <w:t xml:space="preserve"/>
      </w:r>
    </w:p>
    <w:p>
      <w:pPr>
        <w:spacing w:before="80" w:after="100" w:line="290"/>
        <w:jc w:val="both"/>
      </w:pPr>
      <w:r>
        <w:rPr>
          <w:rFonts w:ascii="Arial" w:cs="Arial" w:eastAsia="Arial" w:hAnsi="Arial"/>
          <w:color w:val="111111"/>
          <w:sz w:val="22"/>
          <w:szCs w:val="22"/>
        </w:rPr>
        <w:t xml:space="preserve">Key implementation invariant: _sample_pure_cora_negatives() enforces that both endpoints ∈ V_Cora via rejection sampling, ensuring structural immunity to foam inflation regardless of foam node count.</w:t>
      </w:r>
    </w:p>
    <w:p>
      <w:pPr>
        <w:spacing w:before="80" w:after="0"/>
      </w:pPr>
      <w:r>
        <w:rPr>
          <w:rFonts w:ascii="Arial" w:cs="Arial" w:eastAsia="Arial" w:hAnsi="Arial"/>
          <w:color w:val="111111"/>
          <w:sz w:val="22"/>
          <w:szCs w:val="22"/>
        </w:rPr>
        <w:t xml:space="preserve"/>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86"/>
      </w:tabs>
      <w:spacing w:before="80" w:after="0"/>
    </w:pPr>
    <w:r>
      <w:rPr>
        <w:rFonts w:ascii="Arial" w:cs="Arial" w:eastAsia="Arial" w:hAnsi="Arial"/>
        <w:color w:val="888888"/>
        <w:sz w:val="18"/>
        <w:szCs w:val="18"/>
      </w:rPr>
      <w:t xml:space="preserve">Jose R. F. Junior</w:t>
    </w:r>
    <w:r>
      <w:rPr>
        <w:rFonts w:ascii="Arial" w:cs="Arial" w:eastAsia="Arial" w:hAnsi="Arial"/>
        <w:color w:val="888888"/>
        <w:sz w:val="18"/>
        <w:szCs w:val="18"/>
      </w:rPr>
      <w:t xml:space="preserve">	NietzscheDB / Adaptive Penalty Trap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386"/>
      </w:tabs>
      <w:spacing w:before="0" w:after="120"/>
    </w:pPr>
    <w:r>
      <w:rPr>
        <w:rFonts w:ascii="Arial" w:cs="Arial" w:eastAsia="Arial" w:hAnsi="Arial"/>
        <w:color w:val="888888"/>
        <w:sz w:val="18"/>
        <w:szCs w:val="18"/>
      </w:rPr>
      <w:t xml:space="preserve">The Adaptive Penalty Trap</w:t>
    </w:r>
    <w:r>
      <w:rPr>
        <w:rFonts w:ascii="Arial" w:cs="Arial" w:eastAsia="Arial" w:hAnsi="Arial"/>
        <w:color w:val="888888"/>
        <w:sz w:val="18"/>
        <w:szCs w:val="18"/>
      </w:rPr>
      <w:t xml:space="preserve">	NeurIPS 2026 —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3A5C"/>
      <w:sz w:val="24"/>
      <w:szCs w:val="24"/>
    </w:rPr>
  </w:style>
  <w:style w:type="paragraph" w:styleId="Heading3">
    <w:name w:val="Heading 3"/>
    <w:basedOn w:val="Normal"/>
    <w:next w:val="Normal"/>
    <w:qFormat/>
    <w:pPr>
      <w:spacing w:before="20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2026-03-01T16:19:25.755Z</dcterms:created>
  <dcterms:modified xsi:type="dcterms:W3CDTF">2026-03-01T16:19:25.756Z</dcterms:modified>
</cp:coreProperties>
</file>

<file path=docProps/custom.xml><?xml version="1.0" encoding="utf-8"?>
<Properties xmlns="http://schemas.openxmlformats.org/officeDocument/2006/custom-properties" xmlns:vt="http://schemas.openxmlformats.org/officeDocument/2006/docPropsVTypes"/>
</file>