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86EC9" w14:textId="77777777" w:rsidR="00426CD4" w:rsidRPr="00B4168C" w:rsidRDefault="00426CD4" w:rsidP="00B4168C">
      <w:pPr>
        <w:pStyle w:val="Texto"/>
        <w:spacing w:after="0" w:line="240" w:lineRule="exact"/>
        <w:rPr>
          <w:sz w:val="20"/>
        </w:rPr>
      </w:pPr>
    </w:p>
    <w:p w14:paraId="2AAC8E89" w14:textId="77777777" w:rsidR="009754F0" w:rsidRPr="00183DE4" w:rsidRDefault="009754F0" w:rsidP="00183DE4">
      <w:pPr>
        <w:jc w:val="center"/>
        <w:rPr>
          <w:rFonts w:ascii="Arial" w:hAnsi="Arial" w:cs="Arial"/>
          <w:b/>
          <w:sz w:val="20"/>
          <w:szCs w:val="20"/>
        </w:rPr>
      </w:pPr>
      <w:hyperlink r:id="rId8" w:history="1">
        <w:r w:rsidRPr="00183DE4">
          <w:rPr>
            <w:rStyle w:val="Hipervnculo"/>
            <w:rFonts w:ascii="Arial" w:hAnsi="Arial" w:cs="Arial"/>
            <w:b/>
            <w:sz w:val="20"/>
            <w:szCs w:val="20"/>
          </w:rPr>
          <w:t>NOTAS DE GESTIÓN ADMINISTRATIVA</w:t>
        </w:r>
      </w:hyperlink>
    </w:p>
    <w:p w14:paraId="38E4F1C4" w14:textId="77777777" w:rsidR="009754F0" w:rsidRPr="00183DE4" w:rsidRDefault="009754F0" w:rsidP="00183DE4">
      <w:pPr>
        <w:jc w:val="both"/>
        <w:rPr>
          <w:rFonts w:ascii="Arial" w:hAnsi="Arial" w:cs="Arial"/>
          <w:b/>
          <w:sz w:val="20"/>
          <w:szCs w:val="20"/>
        </w:rPr>
      </w:pPr>
    </w:p>
    <w:p w14:paraId="421BB76E" w14:textId="77777777" w:rsidR="009754F0" w:rsidRPr="00183DE4" w:rsidRDefault="009754F0" w:rsidP="00183DE4">
      <w:pPr>
        <w:tabs>
          <w:tab w:val="left" w:pos="2328"/>
        </w:tabs>
        <w:rPr>
          <w:rFonts w:ascii="Arial" w:hAnsi="Arial" w:cs="Arial"/>
          <w:sz w:val="20"/>
          <w:szCs w:val="20"/>
        </w:rPr>
      </w:pPr>
    </w:p>
    <w:p w14:paraId="3C58DEE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 los entes públicos, proveen de información financiera a los principales usuarios de esta, al Congreso y a los ciudadanos.</w:t>
      </w:r>
    </w:p>
    <w:p w14:paraId="386B81D5" w14:textId="77777777" w:rsidR="009754F0" w:rsidRPr="00183DE4" w:rsidRDefault="009754F0" w:rsidP="00183DE4">
      <w:pPr>
        <w:jc w:val="both"/>
        <w:rPr>
          <w:rFonts w:ascii="Arial" w:hAnsi="Arial" w:cs="Arial"/>
          <w:sz w:val="20"/>
          <w:szCs w:val="20"/>
        </w:rPr>
      </w:pPr>
    </w:p>
    <w:p w14:paraId="0F609A47"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objetivo del presente documento es la revelación del contexto y de los aspectos económicos financieros más relevantes que influyeron en las decisiones del período, que deberán ser considerados en la elaboración de los estados financieros para la mayor comprensión de estos y sus particularidades.</w:t>
      </w:r>
    </w:p>
    <w:p w14:paraId="080B5DBA" w14:textId="77777777" w:rsidR="009754F0" w:rsidRPr="00183DE4" w:rsidRDefault="009754F0" w:rsidP="00183DE4">
      <w:pPr>
        <w:jc w:val="both"/>
        <w:rPr>
          <w:rFonts w:ascii="Arial" w:hAnsi="Arial" w:cs="Arial"/>
          <w:sz w:val="20"/>
          <w:szCs w:val="20"/>
        </w:rPr>
      </w:pPr>
    </w:p>
    <w:p w14:paraId="37176A6F"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 esta manera, se informa y explica la respuesta del gobierno a las condiciones relacionadas con la información financiera de cada período de gestión, además, de exponer aquellas políticas que podrían afectar la toma de decisiones en períodos posteriores.</w:t>
      </w:r>
    </w:p>
    <w:p w14:paraId="185AF134" w14:textId="77777777" w:rsidR="009754F0" w:rsidRPr="00183DE4" w:rsidRDefault="009754F0" w:rsidP="00183DE4">
      <w:pPr>
        <w:pStyle w:val="Prrafodelista"/>
        <w:jc w:val="both"/>
        <w:rPr>
          <w:rFonts w:ascii="Arial" w:hAnsi="Arial" w:cs="Arial"/>
          <w:sz w:val="20"/>
          <w:szCs w:val="20"/>
        </w:rPr>
      </w:pPr>
    </w:p>
    <w:p w14:paraId="73E4194D" w14:textId="77777777" w:rsidR="009754F0" w:rsidRPr="00183DE4" w:rsidRDefault="009754F0" w:rsidP="00183DE4">
      <w:pPr>
        <w:pStyle w:val="Prrafodelista"/>
        <w:numPr>
          <w:ilvl w:val="0"/>
          <w:numId w:val="9"/>
        </w:numPr>
        <w:jc w:val="both"/>
        <w:rPr>
          <w:rFonts w:ascii="Arial" w:hAnsi="Arial" w:cs="Arial"/>
          <w:sz w:val="20"/>
          <w:szCs w:val="20"/>
        </w:rPr>
      </w:pPr>
      <w:r w:rsidRPr="00183DE4">
        <w:rPr>
          <w:rFonts w:ascii="Arial" w:hAnsi="Arial" w:cs="Arial"/>
          <w:sz w:val="20"/>
          <w:szCs w:val="20"/>
        </w:rPr>
        <w:t>Las notas de gestión administrativa deben contener los siguientes puntos:</w:t>
      </w:r>
    </w:p>
    <w:p w14:paraId="10AB8EC5" w14:textId="77777777" w:rsidR="009754F0" w:rsidRPr="00183DE4" w:rsidRDefault="009754F0" w:rsidP="00183DE4">
      <w:pPr>
        <w:jc w:val="both"/>
        <w:rPr>
          <w:rFonts w:ascii="Arial" w:hAnsi="Arial" w:cs="Arial"/>
          <w:sz w:val="20"/>
          <w:szCs w:val="20"/>
        </w:rPr>
      </w:pPr>
    </w:p>
    <w:p w14:paraId="2090CF58" w14:textId="77777777" w:rsidR="009754F0" w:rsidRPr="00183DE4" w:rsidRDefault="009754F0" w:rsidP="00183DE4">
      <w:pPr>
        <w:jc w:val="both"/>
        <w:rPr>
          <w:rFonts w:ascii="Arial" w:hAnsi="Arial" w:cs="Arial"/>
          <w:sz w:val="20"/>
          <w:szCs w:val="20"/>
        </w:rPr>
      </w:pPr>
    </w:p>
    <w:p w14:paraId="6E6F2A2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1. Introducción:</w:t>
      </w:r>
      <w:r w:rsidRPr="00183DE4">
        <w:rPr>
          <w:rFonts w:ascii="Arial" w:hAnsi="Arial" w:cs="Arial"/>
          <w:sz w:val="20"/>
          <w:szCs w:val="20"/>
        </w:rPr>
        <w:tab/>
      </w:r>
    </w:p>
    <w:p w14:paraId="39B0E3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Breve descripción de las actividades principales de la entidad.</w:t>
      </w:r>
    </w:p>
    <w:p w14:paraId="52041FB3" w14:textId="77777777" w:rsidR="009754F0" w:rsidRPr="00183DE4" w:rsidRDefault="009754F0" w:rsidP="00183DE4">
      <w:pPr>
        <w:jc w:val="both"/>
        <w:rPr>
          <w:rFonts w:ascii="Arial" w:hAnsi="Arial" w:cs="Arial"/>
          <w:sz w:val="20"/>
          <w:szCs w:val="20"/>
        </w:rPr>
      </w:pPr>
    </w:p>
    <w:p w14:paraId="03410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es un organismo público descentralizado de la Administración Pública Estatal, con personalidad jurídica y patrimonio propio, sectorizado a la Secretaría de Educación de Guanajuato, con domicilio en Av. Universidad Tecnológica No. 200, colonia Ciudad Bajío, CP 36764, del Municipio de Salamanca, Guanajuato.</w:t>
      </w:r>
    </w:p>
    <w:p w14:paraId="6FD12BB4" w14:textId="77777777" w:rsidR="009754F0" w:rsidRPr="00183DE4" w:rsidRDefault="009754F0" w:rsidP="00183DE4">
      <w:pPr>
        <w:jc w:val="both"/>
        <w:rPr>
          <w:rFonts w:ascii="Arial" w:hAnsi="Arial" w:cs="Arial"/>
          <w:b/>
          <w:sz w:val="20"/>
          <w:szCs w:val="20"/>
        </w:rPr>
      </w:pPr>
    </w:p>
    <w:p w14:paraId="4686812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forma parte del Sistema Estatal de Educación Superior Tecnológica del Estado de Guanajuato y adopta el modelo educativo del Subsistema Nacional de Universidades Tecnológicas, con apego a las normas, políticas, lineamientos establecidos de común acuerdo, entre las autoridades educativas estatal y federal. Entre sus principales funciones, se encuentran:</w:t>
      </w:r>
    </w:p>
    <w:p w14:paraId="31153073" w14:textId="77777777" w:rsidR="009754F0" w:rsidRPr="00183DE4" w:rsidRDefault="009754F0" w:rsidP="00183DE4">
      <w:pPr>
        <w:jc w:val="both"/>
        <w:rPr>
          <w:rFonts w:ascii="Arial" w:hAnsi="Arial" w:cs="Arial"/>
          <w:b/>
          <w:sz w:val="20"/>
          <w:szCs w:val="20"/>
        </w:rPr>
      </w:pPr>
    </w:p>
    <w:p w14:paraId="14F0749C" w14:textId="77777777" w:rsidR="009754F0" w:rsidRPr="00183DE4" w:rsidRDefault="009754F0" w:rsidP="00183DE4">
      <w:pPr>
        <w:jc w:val="both"/>
        <w:rPr>
          <w:rFonts w:ascii="Arial" w:hAnsi="Arial" w:cs="Arial"/>
          <w:b/>
          <w:sz w:val="20"/>
          <w:szCs w:val="20"/>
        </w:rPr>
      </w:pPr>
    </w:p>
    <w:p w14:paraId="67B64D6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de buena calidad.</w:t>
      </w:r>
    </w:p>
    <w:p w14:paraId="57C536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Expedir títulos, certificados, diplomas, reconocimientos, constancias, distinciones especiales y demás documentos inherentes a sus funciones.</w:t>
      </w:r>
    </w:p>
    <w:p w14:paraId="43D229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Revalidar y establecer</w:t>
      </w:r>
    </w:p>
    <w:p w14:paraId="7094FDE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educación superior en los niveles de licenciatura, especialización tecnológica y otros estudios de postgrado, así como cursos de actualización en sus diversas modalidades, para preparar profesionales con una sólida formación técnica y en valores, conscientes del contexto nacional en lo económico, político cultural y social;</w:t>
      </w:r>
    </w:p>
    <w:p w14:paraId="1EDE5C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Llevar a cabo investigación aplicada y desarrollo tecnológico, pertinentes para el desarrollo económico y social de la región, del Estado y de la Nación;</w:t>
      </w:r>
    </w:p>
    <w:p w14:paraId="539011B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Difundir el conocimiento y la cultura a través de la extensión universitaria y la formación a lo largo de toda la vida;</w:t>
      </w:r>
    </w:p>
    <w:p w14:paraId="59036FB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Prestar servicios tecnológicos y de asesoría, que contribuyan a mejorar el desempeño de las empresas y otras organizaciones de la región y del Estado, principalmente;</w:t>
      </w:r>
    </w:p>
    <w:p w14:paraId="73E0C29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Impartir planes de educación continua con orientación a la capacitación para el trabajo y al fomento de la cultura tecnológica en la región y en el Estado.</w:t>
      </w:r>
    </w:p>
    <w:p w14:paraId="1095631D" w14:textId="77777777" w:rsidR="009754F0" w:rsidRPr="00183DE4" w:rsidRDefault="009754F0" w:rsidP="00183DE4">
      <w:pPr>
        <w:jc w:val="both"/>
        <w:rPr>
          <w:rFonts w:ascii="Arial" w:hAnsi="Arial" w:cs="Arial"/>
          <w:b/>
          <w:sz w:val="20"/>
          <w:szCs w:val="20"/>
        </w:rPr>
      </w:pPr>
    </w:p>
    <w:p w14:paraId="4E07FD9E" w14:textId="77777777" w:rsidR="009754F0" w:rsidRPr="00183DE4" w:rsidRDefault="009754F0" w:rsidP="00183DE4">
      <w:pPr>
        <w:jc w:val="both"/>
        <w:rPr>
          <w:rFonts w:ascii="Arial" w:hAnsi="Arial" w:cs="Arial"/>
          <w:sz w:val="20"/>
          <w:szCs w:val="20"/>
        </w:rPr>
      </w:pPr>
    </w:p>
    <w:p w14:paraId="2399651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2. Describir el panorama Económico y Financiero:</w:t>
      </w:r>
    </w:p>
    <w:p w14:paraId="4EC7591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 las principales condiciones económico-financieras bajo las cuales el ente público estuvo operando; y las cuales influyeron en la toma de decisiones de la administración; tanto a nivel local como federal.</w:t>
      </w:r>
    </w:p>
    <w:p w14:paraId="50B2140F" w14:textId="77777777" w:rsidR="009754F0" w:rsidRPr="00183DE4" w:rsidRDefault="009754F0" w:rsidP="00183DE4">
      <w:pPr>
        <w:jc w:val="both"/>
        <w:rPr>
          <w:rFonts w:ascii="Arial" w:hAnsi="Arial" w:cs="Arial"/>
          <w:sz w:val="20"/>
          <w:szCs w:val="20"/>
        </w:rPr>
      </w:pPr>
    </w:p>
    <w:p w14:paraId="5AB866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obtiene su financiamiento en su origen a través del convenio de creación por parte de la Federación y el Gobierno Estatal; posteriormente y cada año se firma el convenio para la operación de la misma, en el cual se establece el presupuesto autorizado anual, en concurrencia al 50% por cada nivel de gobierno, en congruencia con la matrícula atendida, las carreras ofertadas, la estructura organizacional y académica; adicionalmente, se reciben recursos para construcción y equipamiento por fondos específicos de apoyo tanto estatales como federales, participando también en los  programas de financiamiento específicos a proyectos académicos y de divulgación científica (PIFI, PROMEP, FAC, FAFEF, PROEXOES, ETC.), así como financiamiento mediante la prestación de servicios tecnológicos a empresas e instituciones Gubernamentales.</w:t>
      </w:r>
    </w:p>
    <w:p w14:paraId="6F442184" w14:textId="77777777" w:rsidR="009754F0" w:rsidRPr="00183DE4" w:rsidRDefault="009754F0" w:rsidP="00183DE4">
      <w:pPr>
        <w:jc w:val="both"/>
        <w:rPr>
          <w:rFonts w:ascii="Arial" w:hAnsi="Arial" w:cs="Arial"/>
          <w:b/>
          <w:sz w:val="20"/>
          <w:szCs w:val="20"/>
        </w:rPr>
      </w:pPr>
    </w:p>
    <w:p w14:paraId="23C6B86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obstante en los últimos 2 años, se han presentado limitaciones presupuestales estatales y federales, con crecimiento presupuestal inferior a la inflación y con restricciones en partidas específicas; sumado a ello, la pandemia que origino la no presencialidad de los alumnos y maestros demando necesidades no previstas y condiciones distintas, que ahora en el año 2022, se van recuperando acciones y costos diferenciados, con las mismas restricciones y con un presupuesto sin variaciones.</w:t>
      </w:r>
    </w:p>
    <w:p w14:paraId="199DB744" w14:textId="77777777" w:rsidR="009754F0" w:rsidRPr="00183DE4" w:rsidRDefault="009754F0" w:rsidP="00183DE4">
      <w:pPr>
        <w:jc w:val="both"/>
        <w:rPr>
          <w:rFonts w:ascii="Arial" w:hAnsi="Arial" w:cs="Arial"/>
          <w:sz w:val="20"/>
          <w:szCs w:val="20"/>
        </w:rPr>
      </w:pPr>
    </w:p>
    <w:p w14:paraId="528C6FB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3. Autorización e Historia:</w:t>
      </w:r>
    </w:p>
    <w:p w14:paraId="70A77CCD" w14:textId="77777777" w:rsidR="009754F0" w:rsidRPr="00183DE4" w:rsidRDefault="009754F0" w:rsidP="00183DE4">
      <w:pPr>
        <w:jc w:val="both"/>
        <w:rPr>
          <w:rFonts w:ascii="Arial" w:hAnsi="Arial" w:cs="Arial"/>
          <w:sz w:val="20"/>
          <w:szCs w:val="20"/>
        </w:rPr>
      </w:pPr>
    </w:p>
    <w:p w14:paraId="646BA7D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4D9318C" w14:textId="77777777" w:rsidR="009754F0" w:rsidRPr="00183DE4" w:rsidRDefault="009754F0" w:rsidP="00183DE4">
      <w:pPr>
        <w:jc w:val="both"/>
        <w:rPr>
          <w:rFonts w:ascii="Arial" w:hAnsi="Arial" w:cs="Arial"/>
          <w:sz w:val="20"/>
          <w:szCs w:val="20"/>
        </w:rPr>
      </w:pPr>
    </w:p>
    <w:p w14:paraId="1B4E70B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Fecha de creación del ente.</w:t>
      </w:r>
    </w:p>
    <w:p w14:paraId="2B463648" w14:textId="77777777" w:rsidR="009754F0" w:rsidRPr="00183DE4" w:rsidRDefault="009754F0" w:rsidP="00183DE4">
      <w:pPr>
        <w:jc w:val="both"/>
        <w:rPr>
          <w:rFonts w:ascii="Arial" w:hAnsi="Arial" w:cs="Arial"/>
          <w:sz w:val="20"/>
          <w:szCs w:val="20"/>
        </w:rPr>
      </w:pPr>
    </w:p>
    <w:p w14:paraId="3F9D24E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Decreto Gubernativo No. 194 publicado en el Periódico Oficial del Estado con fecha 10 de enero de 2012 y fecha de alta ante la Secretaría de Hacienda y Crédito Público 14 de enero de 2012.</w:t>
      </w:r>
    </w:p>
    <w:p w14:paraId="0A9E577E" w14:textId="77777777" w:rsidR="009754F0" w:rsidRPr="00183DE4" w:rsidRDefault="009754F0" w:rsidP="00183DE4">
      <w:pPr>
        <w:jc w:val="both"/>
        <w:rPr>
          <w:rFonts w:ascii="Arial" w:hAnsi="Arial" w:cs="Arial"/>
          <w:b/>
          <w:sz w:val="20"/>
          <w:szCs w:val="20"/>
        </w:rPr>
      </w:pPr>
    </w:p>
    <w:p w14:paraId="778F23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Principales cambios en su estructura (interna históricamente).</w:t>
      </w:r>
    </w:p>
    <w:p w14:paraId="49522EE8" w14:textId="77777777" w:rsidR="009754F0" w:rsidRPr="00183DE4" w:rsidRDefault="009754F0" w:rsidP="00183DE4">
      <w:pPr>
        <w:jc w:val="both"/>
        <w:rPr>
          <w:rFonts w:ascii="Arial" w:hAnsi="Arial" w:cs="Arial"/>
          <w:sz w:val="20"/>
          <w:szCs w:val="20"/>
          <w:lang w:val="pt-BR"/>
        </w:rPr>
      </w:pPr>
    </w:p>
    <w:p w14:paraId="70DE5DB5"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RECTORES DE 2012 – 2018</w:t>
      </w:r>
    </w:p>
    <w:p w14:paraId="1DBDEA62"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2012 – 2012</w:t>
      </w:r>
      <w:r w:rsidRPr="00183DE4">
        <w:rPr>
          <w:rFonts w:ascii="Arial" w:hAnsi="Arial" w:cs="Arial"/>
          <w:b/>
          <w:sz w:val="20"/>
          <w:szCs w:val="20"/>
          <w:lang w:val="pt-BR"/>
        </w:rPr>
        <w:tab/>
        <w:t>DR. RUBEN LARA VALDEZ</w:t>
      </w:r>
    </w:p>
    <w:p w14:paraId="19D56E5F"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2013</w:t>
      </w:r>
      <w:r w:rsidRPr="00183DE4">
        <w:rPr>
          <w:rFonts w:ascii="Arial" w:hAnsi="Arial" w:cs="Arial"/>
          <w:b/>
          <w:sz w:val="20"/>
          <w:szCs w:val="20"/>
          <w:lang w:val="pt-BR"/>
        </w:rPr>
        <w:tab/>
        <w:t xml:space="preserve">ENC. DEL DESP. DE RECTORIA M. </w:t>
      </w:r>
      <w:proofErr w:type="spellStart"/>
      <w:r w:rsidRPr="00183DE4">
        <w:rPr>
          <w:rFonts w:ascii="Arial" w:hAnsi="Arial" w:cs="Arial"/>
          <w:b/>
          <w:sz w:val="20"/>
          <w:szCs w:val="20"/>
          <w:lang w:val="pt-BR"/>
        </w:rPr>
        <w:t>en</w:t>
      </w:r>
      <w:proofErr w:type="spellEnd"/>
      <w:r w:rsidRPr="00183DE4">
        <w:rPr>
          <w:rFonts w:ascii="Arial" w:hAnsi="Arial" w:cs="Arial"/>
          <w:b/>
          <w:sz w:val="20"/>
          <w:szCs w:val="20"/>
          <w:lang w:val="pt-BR"/>
        </w:rPr>
        <w:t xml:space="preserve"> C. JUAN ANTONIO LARA MIRELES</w:t>
      </w:r>
    </w:p>
    <w:p w14:paraId="2BF7F1E7" w14:textId="77777777" w:rsidR="009754F0" w:rsidRPr="00183DE4" w:rsidRDefault="009754F0" w:rsidP="00183DE4">
      <w:pPr>
        <w:jc w:val="both"/>
        <w:rPr>
          <w:rFonts w:ascii="Arial" w:hAnsi="Arial" w:cs="Arial"/>
          <w:b/>
          <w:sz w:val="20"/>
          <w:szCs w:val="20"/>
          <w:lang w:val="pt-BR"/>
        </w:rPr>
      </w:pPr>
      <w:r w:rsidRPr="00183DE4">
        <w:rPr>
          <w:rFonts w:ascii="Arial" w:hAnsi="Arial" w:cs="Arial"/>
          <w:b/>
          <w:sz w:val="20"/>
          <w:szCs w:val="20"/>
          <w:lang w:val="pt-BR"/>
        </w:rPr>
        <w:t>2013 – 2022</w:t>
      </w:r>
      <w:r w:rsidRPr="00183DE4">
        <w:rPr>
          <w:rFonts w:ascii="Arial" w:hAnsi="Arial" w:cs="Arial"/>
          <w:b/>
          <w:sz w:val="20"/>
          <w:szCs w:val="20"/>
          <w:lang w:val="pt-BR"/>
        </w:rPr>
        <w:tab/>
        <w:t>ING. ALFREDO LOPEZ HERRERA</w:t>
      </w:r>
    </w:p>
    <w:p w14:paraId="6207F804" w14:textId="77777777" w:rsidR="009754F0" w:rsidRDefault="009754F0" w:rsidP="00183DE4">
      <w:pPr>
        <w:jc w:val="both"/>
        <w:rPr>
          <w:rFonts w:ascii="Arial" w:hAnsi="Arial" w:cs="Arial"/>
          <w:b/>
          <w:sz w:val="20"/>
          <w:szCs w:val="20"/>
          <w:lang w:val="pt-BR"/>
        </w:rPr>
      </w:pPr>
      <w:proofErr w:type="spellStart"/>
      <w:r w:rsidRPr="00183DE4">
        <w:rPr>
          <w:rFonts w:ascii="Arial" w:hAnsi="Arial" w:cs="Arial"/>
          <w:b/>
          <w:sz w:val="20"/>
          <w:szCs w:val="20"/>
          <w:lang w:val="pt-BR"/>
        </w:rPr>
        <w:t>Septiembre</w:t>
      </w:r>
      <w:proofErr w:type="spellEnd"/>
      <w:r w:rsidRPr="00183DE4">
        <w:rPr>
          <w:rFonts w:ascii="Arial" w:hAnsi="Arial" w:cs="Arial"/>
          <w:b/>
          <w:sz w:val="20"/>
          <w:szCs w:val="20"/>
          <w:lang w:val="pt-BR"/>
        </w:rPr>
        <w:t xml:space="preserve"> 2022 LIC. FERNANDO TRUJILLO JIMENEZ</w:t>
      </w:r>
    </w:p>
    <w:p w14:paraId="2B6E8074" w14:textId="322FED77" w:rsidR="005C6058" w:rsidRDefault="005C6058" w:rsidP="00183DE4">
      <w:pPr>
        <w:jc w:val="both"/>
        <w:rPr>
          <w:rFonts w:ascii="Arial" w:hAnsi="Arial" w:cs="Arial"/>
          <w:b/>
          <w:sz w:val="20"/>
          <w:szCs w:val="20"/>
          <w:lang w:val="pt-BR"/>
        </w:rPr>
      </w:pPr>
      <w:proofErr w:type="spellStart"/>
      <w:r>
        <w:rPr>
          <w:rFonts w:ascii="Arial" w:hAnsi="Arial" w:cs="Arial"/>
          <w:b/>
          <w:sz w:val="20"/>
          <w:szCs w:val="20"/>
          <w:lang w:val="pt-BR"/>
        </w:rPr>
        <w:t>Junio</w:t>
      </w:r>
      <w:proofErr w:type="spellEnd"/>
      <w:r>
        <w:rPr>
          <w:rFonts w:ascii="Arial" w:hAnsi="Arial" w:cs="Arial"/>
          <w:b/>
          <w:sz w:val="20"/>
          <w:szCs w:val="20"/>
          <w:lang w:val="pt-BR"/>
        </w:rPr>
        <w:t xml:space="preserve"> 2023 </w:t>
      </w:r>
      <w:r w:rsidR="00F82906">
        <w:rPr>
          <w:rFonts w:ascii="Arial" w:hAnsi="Arial" w:cs="Arial"/>
          <w:b/>
          <w:sz w:val="20"/>
          <w:szCs w:val="20"/>
          <w:lang w:val="pt-BR"/>
        </w:rPr>
        <w:t xml:space="preserve">ENC. DEL. DESP. DE RECTORIA </w:t>
      </w:r>
      <w:r>
        <w:rPr>
          <w:rFonts w:ascii="Arial" w:hAnsi="Arial" w:cs="Arial"/>
          <w:b/>
          <w:sz w:val="20"/>
          <w:szCs w:val="20"/>
          <w:lang w:val="pt-BR"/>
        </w:rPr>
        <w:t>MTRO CARLOS MARTIN MIRELES IBARRA</w:t>
      </w:r>
    </w:p>
    <w:p w14:paraId="52FC6E22" w14:textId="5C6C75C8" w:rsidR="00EE1203" w:rsidRPr="00183DE4" w:rsidRDefault="00EE1203" w:rsidP="00183DE4">
      <w:pPr>
        <w:jc w:val="both"/>
        <w:rPr>
          <w:rFonts w:ascii="Arial" w:hAnsi="Arial" w:cs="Arial"/>
          <w:b/>
          <w:sz w:val="20"/>
          <w:szCs w:val="20"/>
          <w:lang w:val="pt-BR"/>
        </w:rPr>
      </w:pPr>
      <w:r>
        <w:rPr>
          <w:rFonts w:ascii="Arial" w:hAnsi="Arial" w:cs="Arial"/>
          <w:b/>
          <w:sz w:val="20"/>
          <w:szCs w:val="20"/>
          <w:lang w:val="pt-BR"/>
        </w:rPr>
        <w:t xml:space="preserve">01 </w:t>
      </w:r>
      <w:proofErr w:type="spellStart"/>
      <w:r>
        <w:rPr>
          <w:rFonts w:ascii="Arial" w:hAnsi="Arial" w:cs="Arial"/>
          <w:b/>
          <w:sz w:val="20"/>
          <w:szCs w:val="20"/>
          <w:lang w:val="pt-BR"/>
        </w:rPr>
        <w:t>Septiembre</w:t>
      </w:r>
      <w:proofErr w:type="spellEnd"/>
      <w:r>
        <w:rPr>
          <w:rFonts w:ascii="Arial" w:hAnsi="Arial" w:cs="Arial"/>
          <w:b/>
          <w:sz w:val="20"/>
          <w:szCs w:val="20"/>
          <w:lang w:val="pt-BR"/>
        </w:rPr>
        <w:t xml:space="preserve"> 2024. MTRO ALFONSO DELGADO MARTINEZ</w:t>
      </w:r>
    </w:p>
    <w:p w14:paraId="66C2AE22" w14:textId="77777777" w:rsidR="009754F0" w:rsidRPr="00183DE4" w:rsidRDefault="009754F0" w:rsidP="00183DE4">
      <w:pPr>
        <w:jc w:val="both"/>
        <w:rPr>
          <w:rFonts w:ascii="Arial" w:hAnsi="Arial" w:cs="Arial"/>
          <w:b/>
          <w:sz w:val="20"/>
          <w:szCs w:val="20"/>
        </w:rPr>
      </w:pPr>
    </w:p>
    <w:p w14:paraId="559F31C8" w14:textId="77777777" w:rsidR="009754F0" w:rsidRPr="00183DE4" w:rsidRDefault="009754F0" w:rsidP="00183DE4">
      <w:pPr>
        <w:jc w:val="center"/>
        <w:rPr>
          <w:rFonts w:ascii="Arial" w:hAnsi="Arial" w:cs="Arial"/>
          <w:b/>
          <w:sz w:val="20"/>
          <w:szCs w:val="20"/>
        </w:rPr>
      </w:pPr>
      <w:r w:rsidRPr="00183DE4">
        <w:rPr>
          <w:rFonts w:ascii="Arial" w:hAnsi="Arial" w:cs="Arial"/>
          <w:b/>
          <w:sz w:val="20"/>
          <w:szCs w:val="20"/>
        </w:rPr>
        <w:t xml:space="preserve">MISION, VISION Y VALORES </w:t>
      </w:r>
    </w:p>
    <w:p w14:paraId="5745A0EB" w14:textId="77777777" w:rsidR="009754F0" w:rsidRPr="00183DE4" w:rsidRDefault="009754F0" w:rsidP="00183DE4">
      <w:pPr>
        <w:jc w:val="center"/>
        <w:rPr>
          <w:rFonts w:ascii="Arial" w:hAnsi="Arial" w:cs="Arial"/>
          <w:b/>
          <w:sz w:val="20"/>
          <w:szCs w:val="20"/>
        </w:rPr>
      </w:pPr>
    </w:p>
    <w:p w14:paraId="253B3A5A"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POLITICA DE CALIDAD:</w:t>
      </w:r>
      <w:r w:rsidRPr="00183DE4">
        <w:rPr>
          <w:rStyle w:val="estilo51"/>
          <w:rFonts w:ascii="Arial" w:hAnsi="Arial" w:cs="Arial"/>
          <w:sz w:val="20"/>
          <w:szCs w:val="20"/>
        </w:rPr>
        <w:t xml:space="preserve"> La Universidad Tecnológica de Salamanca satisface los requisitos de los estudiantes y partes interesadas que, reciben sus servicios, con base en la mejora continua del Sistema de Gestión de Calidad. </w:t>
      </w:r>
    </w:p>
    <w:p w14:paraId="6C3A6682" w14:textId="77777777" w:rsidR="009754F0" w:rsidRPr="00183DE4" w:rsidRDefault="009754F0" w:rsidP="00183DE4">
      <w:pPr>
        <w:jc w:val="both"/>
        <w:rPr>
          <w:rStyle w:val="estilo51"/>
          <w:rFonts w:ascii="Arial" w:hAnsi="Arial" w:cs="Arial"/>
          <w:sz w:val="20"/>
          <w:szCs w:val="20"/>
        </w:rPr>
      </w:pPr>
    </w:p>
    <w:p w14:paraId="177B84F0" w14:textId="77777777" w:rsidR="009754F0" w:rsidRPr="00183DE4" w:rsidRDefault="009754F0" w:rsidP="00183DE4">
      <w:pPr>
        <w:jc w:val="both"/>
        <w:rPr>
          <w:rStyle w:val="estilo51"/>
          <w:rFonts w:ascii="Arial" w:hAnsi="Arial" w:cs="Arial"/>
          <w:b/>
          <w:sz w:val="20"/>
          <w:szCs w:val="20"/>
        </w:rPr>
      </w:pPr>
      <w:r w:rsidRPr="00183DE4">
        <w:rPr>
          <w:rStyle w:val="estilo51"/>
          <w:rFonts w:ascii="Arial" w:hAnsi="Arial" w:cs="Arial"/>
          <w:b/>
          <w:sz w:val="20"/>
          <w:szCs w:val="20"/>
        </w:rPr>
        <w:t xml:space="preserve">MISION: </w:t>
      </w:r>
      <w:r w:rsidRPr="00183DE4">
        <w:rPr>
          <w:rStyle w:val="estilo51"/>
          <w:rFonts w:ascii="Arial" w:hAnsi="Arial" w:cs="Arial"/>
          <w:bCs/>
          <w:sz w:val="20"/>
          <w:szCs w:val="20"/>
        </w:rPr>
        <w:t>Formar profesionistas de nivel Técnico Superior Universitario y de nivel Licenciatura, a través de programas educativos pertinentes y de calidad, además de certificarlos en competencias laborales y profesionales que, satisfagan las necesidades de los sectores productivo y social, para fomentar el desarrollo social y económico de la Región, del Estado y del País</w:t>
      </w:r>
      <w:r w:rsidRPr="00183DE4">
        <w:rPr>
          <w:rStyle w:val="estilo51"/>
          <w:rFonts w:ascii="Arial" w:hAnsi="Arial" w:cs="Arial"/>
          <w:b/>
          <w:sz w:val="20"/>
          <w:szCs w:val="20"/>
        </w:rPr>
        <w:t>.</w:t>
      </w:r>
    </w:p>
    <w:p w14:paraId="78A79A77" w14:textId="77777777" w:rsidR="009754F0" w:rsidRPr="00183DE4" w:rsidRDefault="009754F0" w:rsidP="00183DE4">
      <w:pPr>
        <w:jc w:val="both"/>
        <w:rPr>
          <w:rStyle w:val="estilo51"/>
          <w:rFonts w:ascii="Arial" w:hAnsi="Arial" w:cs="Arial"/>
          <w:b/>
          <w:sz w:val="20"/>
          <w:szCs w:val="20"/>
        </w:rPr>
      </w:pPr>
    </w:p>
    <w:p w14:paraId="50DDB8AC" w14:textId="77777777" w:rsidR="009754F0" w:rsidRPr="00183DE4" w:rsidRDefault="009754F0" w:rsidP="00183DE4">
      <w:pPr>
        <w:jc w:val="both"/>
        <w:rPr>
          <w:rStyle w:val="estilo51"/>
          <w:rFonts w:ascii="Arial" w:hAnsi="Arial" w:cs="Arial"/>
          <w:sz w:val="20"/>
          <w:szCs w:val="20"/>
        </w:rPr>
      </w:pPr>
      <w:r w:rsidRPr="00183DE4">
        <w:rPr>
          <w:rStyle w:val="estilo51"/>
          <w:rFonts w:ascii="Arial" w:hAnsi="Arial" w:cs="Arial"/>
          <w:b/>
          <w:sz w:val="20"/>
          <w:szCs w:val="20"/>
        </w:rPr>
        <w:t>VISION:</w:t>
      </w:r>
      <w:r w:rsidRPr="00183DE4">
        <w:rPr>
          <w:rStyle w:val="estilo51"/>
          <w:rFonts w:ascii="Arial" w:hAnsi="Arial" w:cs="Arial"/>
          <w:sz w:val="20"/>
          <w:szCs w:val="20"/>
        </w:rPr>
        <w:t xml:space="preserve"> Será una Universidad Tecnológica reconocida a nivel nacional por: sus egresados de alto desempeño laboral, formados en programas educativos acreditados y con certificaciones profesionales; contar con profesores de excelencia académica; tener un programa consolidado de intercambios nacionales e internacionales con instituciones de educación superior; y desarrollar procesos de gestión eficientes y eficaces. Bajo un enfoque de responsabilidad social que contribuya al desarrollo sustentable de la Región y del País. una Institución con oferta educativa de nivel superior de calidad que contribuya al desarrollo sustentable y sostenido con personal docente de perfil fortalecido, con programas educativos con evaluaciones diagnósticas y cuerpos académicos consolidados y en proceso de consolidación</w:t>
      </w:r>
    </w:p>
    <w:p w14:paraId="6502789F" w14:textId="77777777" w:rsidR="009754F0" w:rsidRPr="00183DE4" w:rsidRDefault="009754F0" w:rsidP="00183DE4">
      <w:pPr>
        <w:jc w:val="both"/>
        <w:rPr>
          <w:rStyle w:val="estilo51"/>
          <w:rFonts w:ascii="Arial" w:hAnsi="Arial" w:cs="Arial"/>
          <w:sz w:val="20"/>
          <w:szCs w:val="20"/>
        </w:rPr>
      </w:pPr>
    </w:p>
    <w:p w14:paraId="2ADA594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VALORES:</w:t>
      </w:r>
      <w:r w:rsidRPr="00183DE4">
        <w:rPr>
          <w:rFonts w:ascii="Arial" w:hAnsi="Arial" w:cs="Arial"/>
          <w:sz w:val="20"/>
          <w:szCs w:val="20"/>
        </w:rPr>
        <w:t xml:space="preserve"> justicia, Lealtad, Responsabilidad, Respeto, Tolerancia y Solidaridad</w:t>
      </w:r>
    </w:p>
    <w:p w14:paraId="15A0F49B" w14:textId="77777777" w:rsidR="009754F0" w:rsidRPr="00183DE4" w:rsidRDefault="009754F0" w:rsidP="00183DE4">
      <w:pPr>
        <w:jc w:val="both"/>
        <w:rPr>
          <w:rFonts w:ascii="Arial" w:hAnsi="Arial" w:cs="Arial"/>
          <w:b/>
          <w:sz w:val="20"/>
          <w:szCs w:val="20"/>
        </w:rPr>
      </w:pPr>
    </w:p>
    <w:p w14:paraId="5AD4AE08" w14:textId="77777777" w:rsidR="009754F0" w:rsidRPr="00183DE4" w:rsidRDefault="009754F0" w:rsidP="00183DE4">
      <w:pPr>
        <w:jc w:val="both"/>
        <w:rPr>
          <w:rFonts w:ascii="Arial" w:hAnsi="Arial" w:cs="Arial"/>
          <w:b/>
          <w:sz w:val="20"/>
          <w:szCs w:val="20"/>
        </w:rPr>
      </w:pPr>
    </w:p>
    <w:p w14:paraId="2C254CF0"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4. Organización y Objeto Social:</w:t>
      </w:r>
    </w:p>
    <w:p w14:paraId="2E055979" w14:textId="77777777" w:rsidR="009754F0" w:rsidRPr="00183DE4" w:rsidRDefault="009754F0" w:rsidP="00183DE4">
      <w:pPr>
        <w:jc w:val="both"/>
        <w:rPr>
          <w:rFonts w:ascii="Arial" w:hAnsi="Arial" w:cs="Arial"/>
          <w:sz w:val="20"/>
          <w:szCs w:val="20"/>
        </w:rPr>
      </w:pPr>
    </w:p>
    <w:p w14:paraId="1E4638F9"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07045CE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Objeto social.</w:t>
      </w:r>
    </w:p>
    <w:p w14:paraId="4D6D0FD0" w14:textId="77777777" w:rsidR="009754F0" w:rsidRPr="00183DE4" w:rsidRDefault="009754F0" w:rsidP="00183DE4">
      <w:pPr>
        <w:jc w:val="both"/>
        <w:rPr>
          <w:rFonts w:ascii="Arial" w:hAnsi="Arial" w:cs="Arial"/>
          <w:sz w:val="20"/>
          <w:szCs w:val="20"/>
        </w:rPr>
      </w:pPr>
    </w:p>
    <w:p w14:paraId="6C048F1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Ofrecer programas de educación Superior con las características de intensidad, pertinencia, flexibilidad y calidad.</w:t>
      </w:r>
    </w:p>
    <w:p w14:paraId="05F2D1E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Principal actividad.</w:t>
      </w:r>
    </w:p>
    <w:p w14:paraId="4F6B75B1" w14:textId="77777777" w:rsidR="009754F0" w:rsidRPr="00183DE4" w:rsidRDefault="009754F0" w:rsidP="00183DE4">
      <w:pPr>
        <w:jc w:val="both"/>
        <w:rPr>
          <w:rFonts w:ascii="Arial" w:hAnsi="Arial" w:cs="Arial"/>
          <w:sz w:val="20"/>
          <w:szCs w:val="20"/>
        </w:rPr>
      </w:pPr>
    </w:p>
    <w:p w14:paraId="688EDAE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Escuela de Educación Superior Perteneciente al Sector Público.</w:t>
      </w:r>
    </w:p>
    <w:p w14:paraId="4B715E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Ejercicio fiscal (mencionar, por ejemplo: enero a diciembre de 2012).</w:t>
      </w:r>
    </w:p>
    <w:p w14:paraId="57429137" w14:textId="77777777" w:rsidR="009754F0" w:rsidRPr="00183DE4" w:rsidRDefault="009754F0" w:rsidP="00183DE4">
      <w:pPr>
        <w:jc w:val="both"/>
        <w:rPr>
          <w:rFonts w:ascii="Arial" w:hAnsi="Arial" w:cs="Arial"/>
          <w:sz w:val="20"/>
          <w:szCs w:val="20"/>
        </w:rPr>
      </w:pPr>
    </w:p>
    <w:p w14:paraId="2FC9C0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Ejercicio Fiscal de Enero a Septiembre de 2022.</w:t>
      </w:r>
    </w:p>
    <w:p w14:paraId="69E9C57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Régimen jurídico (Forma como está dada de alta la entidad ante la S.H.C.P., ejemplos: S.C., S.A., Personas morales sin fines de lucro, etc.).</w:t>
      </w:r>
    </w:p>
    <w:p w14:paraId="48492219" w14:textId="77777777" w:rsidR="009754F0" w:rsidRPr="00183DE4" w:rsidRDefault="009754F0" w:rsidP="00183DE4">
      <w:pPr>
        <w:jc w:val="both"/>
        <w:rPr>
          <w:rFonts w:ascii="Arial" w:hAnsi="Arial" w:cs="Arial"/>
          <w:b/>
          <w:sz w:val="20"/>
          <w:szCs w:val="20"/>
        </w:rPr>
      </w:pPr>
    </w:p>
    <w:p w14:paraId="38ADF7F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Persona Moral Sin Fines de Lucro</w:t>
      </w:r>
    </w:p>
    <w:p w14:paraId="050DB0BF" w14:textId="77777777" w:rsidR="009754F0" w:rsidRPr="00183DE4" w:rsidRDefault="009754F0" w:rsidP="00183DE4">
      <w:pPr>
        <w:jc w:val="both"/>
        <w:rPr>
          <w:rFonts w:ascii="Arial" w:hAnsi="Arial" w:cs="Arial"/>
          <w:b/>
          <w:sz w:val="20"/>
          <w:szCs w:val="20"/>
        </w:rPr>
      </w:pPr>
    </w:p>
    <w:p w14:paraId="79423AD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Consideraciones fiscales del ente: revelar el tipo de contribuciones que esté obligado a pagar o retener.</w:t>
      </w:r>
    </w:p>
    <w:p w14:paraId="7CD857CB" w14:textId="77777777" w:rsidR="009754F0" w:rsidRPr="00183DE4" w:rsidRDefault="009754F0" w:rsidP="00183DE4">
      <w:pPr>
        <w:jc w:val="both"/>
        <w:rPr>
          <w:rFonts w:ascii="Arial" w:hAnsi="Arial" w:cs="Arial"/>
          <w:sz w:val="20"/>
          <w:szCs w:val="20"/>
        </w:rPr>
      </w:pPr>
    </w:p>
    <w:p w14:paraId="12ACF32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Retención de ISR de sueldos y salarios</w:t>
      </w:r>
    </w:p>
    <w:p w14:paraId="0FF98C2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asimilados a salarios</w:t>
      </w:r>
    </w:p>
    <w:p w14:paraId="7383156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de Honorarios por servicios profesionales</w:t>
      </w:r>
    </w:p>
    <w:p w14:paraId="06D8EAB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Retención de </w:t>
      </w:r>
      <w:proofErr w:type="spellStart"/>
      <w:r w:rsidRPr="00183DE4">
        <w:rPr>
          <w:rFonts w:ascii="Arial" w:hAnsi="Arial" w:cs="Arial"/>
          <w:b/>
          <w:sz w:val="20"/>
          <w:szCs w:val="20"/>
        </w:rPr>
        <w:t>Isr</w:t>
      </w:r>
      <w:proofErr w:type="spellEnd"/>
      <w:r w:rsidRPr="00183DE4">
        <w:rPr>
          <w:rFonts w:ascii="Arial" w:hAnsi="Arial" w:cs="Arial"/>
          <w:b/>
          <w:sz w:val="20"/>
          <w:szCs w:val="20"/>
        </w:rPr>
        <w:t xml:space="preserve"> por el pago de renta de bienes inmuebles</w:t>
      </w:r>
    </w:p>
    <w:p w14:paraId="4AB0F6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Declaración informativa anual de sueldos y salarios, honorarios asimilables, subsidio, Honorarios por servicios profesionales y arrendamiento de inmuebles</w:t>
      </w:r>
    </w:p>
    <w:p w14:paraId="01FE8FE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 xml:space="preserve">Declaración informativa de Operaciones con Terceros (DIOT) </w:t>
      </w:r>
    </w:p>
    <w:p w14:paraId="1DE3AA00" w14:textId="77777777" w:rsidR="009754F0" w:rsidRPr="00183DE4" w:rsidRDefault="009754F0" w:rsidP="00183DE4">
      <w:pPr>
        <w:jc w:val="both"/>
        <w:rPr>
          <w:rFonts w:ascii="Arial" w:hAnsi="Arial" w:cs="Arial"/>
          <w:b/>
          <w:sz w:val="20"/>
          <w:szCs w:val="20"/>
        </w:rPr>
      </w:pPr>
    </w:p>
    <w:p w14:paraId="41FD790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f)</w:t>
      </w:r>
      <w:r w:rsidRPr="00183DE4">
        <w:rPr>
          <w:rFonts w:ascii="Arial" w:hAnsi="Arial" w:cs="Arial"/>
          <w:sz w:val="20"/>
          <w:szCs w:val="20"/>
        </w:rPr>
        <w:t xml:space="preserve"> Estructura organizacional básica.</w:t>
      </w:r>
    </w:p>
    <w:p w14:paraId="3417CBEB" w14:textId="77777777" w:rsidR="009754F0" w:rsidRPr="00183DE4" w:rsidRDefault="009754F0" w:rsidP="00183DE4">
      <w:pPr>
        <w:jc w:val="both"/>
        <w:rPr>
          <w:rFonts w:ascii="Arial" w:hAnsi="Arial" w:cs="Arial"/>
          <w:sz w:val="20"/>
          <w:szCs w:val="20"/>
        </w:rPr>
      </w:pPr>
    </w:p>
    <w:p w14:paraId="0FF6C4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anexa organigrama de la Universidad.</w:t>
      </w:r>
    </w:p>
    <w:p w14:paraId="08E98CF3" w14:textId="77777777" w:rsidR="009754F0" w:rsidRPr="00183DE4" w:rsidRDefault="009754F0" w:rsidP="00183DE4">
      <w:pPr>
        <w:jc w:val="both"/>
        <w:rPr>
          <w:rFonts w:ascii="Arial" w:hAnsi="Arial" w:cs="Arial"/>
          <w:b/>
          <w:sz w:val="20"/>
          <w:szCs w:val="20"/>
        </w:rPr>
      </w:pPr>
      <w:r w:rsidRPr="00183DE4">
        <w:rPr>
          <w:rFonts w:ascii="Arial" w:hAnsi="Arial" w:cs="Arial"/>
          <w:noProof/>
          <w:sz w:val="20"/>
          <w:szCs w:val="20"/>
          <w:lang w:val="es-MX" w:eastAsia="es-MX"/>
        </w:rPr>
        <w:drawing>
          <wp:inline distT="0" distB="0" distL="0" distR="0" wp14:anchorId="17DB147E" wp14:editId="4AADF0DA">
            <wp:extent cx="5642458" cy="2673342"/>
            <wp:effectExtent l="0" t="0" r="0" b="0"/>
            <wp:docPr id="81" name="Imagen 8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81" descr="Escala de tiempo&#10;&#10;Descripción generada automáticamente"/>
                    <pic:cNvPicPr/>
                  </pic:nvPicPr>
                  <pic:blipFill rotWithShape="1">
                    <a:blip r:embed="rId9"/>
                    <a:srcRect l="9820" t="19798" r="32311" b="6936"/>
                    <a:stretch/>
                  </pic:blipFill>
                  <pic:spPr bwMode="auto">
                    <a:xfrm>
                      <a:off x="0" y="0"/>
                      <a:ext cx="5684094" cy="2693069"/>
                    </a:xfrm>
                    <a:prstGeom prst="rect">
                      <a:avLst/>
                    </a:prstGeom>
                    <a:ln>
                      <a:noFill/>
                    </a:ln>
                    <a:extLst>
                      <a:ext uri="{53640926-AAD7-44D8-BBD7-CCE9431645EC}">
                        <a14:shadowObscured xmlns:a14="http://schemas.microsoft.com/office/drawing/2010/main"/>
                      </a:ext>
                    </a:extLst>
                  </pic:spPr>
                </pic:pic>
              </a:graphicData>
            </a:graphic>
          </wp:inline>
        </w:drawing>
      </w:r>
    </w:p>
    <w:p w14:paraId="02D105E5" w14:textId="77777777" w:rsidR="009754F0" w:rsidRPr="00183DE4" w:rsidRDefault="009754F0" w:rsidP="00183DE4">
      <w:pPr>
        <w:jc w:val="both"/>
        <w:rPr>
          <w:rFonts w:ascii="Arial" w:hAnsi="Arial" w:cs="Arial"/>
          <w:b/>
          <w:sz w:val="20"/>
          <w:szCs w:val="20"/>
        </w:rPr>
      </w:pPr>
    </w:p>
    <w:p w14:paraId="27DBDDD6" w14:textId="77777777" w:rsidR="009754F0" w:rsidRPr="00183DE4" w:rsidRDefault="009754F0" w:rsidP="00183DE4">
      <w:pPr>
        <w:jc w:val="both"/>
        <w:rPr>
          <w:rFonts w:ascii="Arial" w:hAnsi="Arial" w:cs="Arial"/>
          <w:b/>
          <w:sz w:val="20"/>
          <w:szCs w:val="20"/>
        </w:rPr>
      </w:pPr>
    </w:p>
    <w:p w14:paraId="38DA24B3" w14:textId="77777777" w:rsidR="009754F0" w:rsidRPr="00183DE4" w:rsidRDefault="009754F0" w:rsidP="00183DE4">
      <w:pPr>
        <w:jc w:val="both"/>
        <w:rPr>
          <w:rFonts w:ascii="Arial" w:hAnsi="Arial" w:cs="Arial"/>
          <w:b/>
          <w:sz w:val="20"/>
          <w:szCs w:val="20"/>
        </w:rPr>
      </w:pPr>
    </w:p>
    <w:p w14:paraId="23BEBC3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5. Bases de Preparación de los Estados Financieros:</w:t>
      </w:r>
    </w:p>
    <w:p w14:paraId="67479E5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41923BF5" w14:textId="77777777" w:rsidR="009754F0" w:rsidRPr="00183DE4" w:rsidRDefault="009754F0" w:rsidP="00183DE4">
      <w:pPr>
        <w:jc w:val="both"/>
        <w:rPr>
          <w:rFonts w:ascii="Arial" w:hAnsi="Arial" w:cs="Arial"/>
          <w:sz w:val="20"/>
          <w:szCs w:val="20"/>
        </w:rPr>
      </w:pPr>
    </w:p>
    <w:p w14:paraId="2213035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Si se ha observado la normatividad emitida por el CONAC y las disposiciones legales aplicables.</w:t>
      </w:r>
    </w:p>
    <w:p w14:paraId="4E74ED10" w14:textId="77777777" w:rsidR="009754F0" w:rsidRPr="00183DE4" w:rsidRDefault="009754F0" w:rsidP="00183DE4">
      <w:pPr>
        <w:jc w:val="both"/>
        <w:rPr>
          <w:rFonts w:ascii="Arial" w:hAnsi="Arial" w:cs="Arial"/>
          <w:sz w:val="20"/>
          <w:szCs w:val="20"/>
        </w:rPr>
      </w:pPr>
    </w:p>
    <w:p w14:paraId="76B7565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Bases que se tomaron para la preparación de los Estados Financieros, son conforme a la Normatividad emitida a la fecha por La Ley General de Contabilidad Gubernamental (art. 1 al 86); por los acuerdos emitidos del Consejo Nacional de Armonización Contable (CONAC); por el Consejo Estatal de Armonización Contable (CEAC); por la Constitución Política de los Estados Unidos Mexicanos (ART. 73 FRACC. XXVIII, ART. 74 FRACC. VI), Constitución Política del Estado de Guanajuato (Art. 63); Ley de Fiscalización Superior del Congreso del Estado de Guanajuato (Art. 6 Fracc. IV, Art. 21 y 66); Ley de Responsabilidades Administrativas de los Servidores Públicos del estado de Guanajuato y sus Municipios, Ley de Transparencia, Disposiciones Administrativas; Lineamientos Generales de racionalidad, Austeridad y Disciplina Presupuestal de la Administración Pública estatal, Ley de Ingresos, Ley del Presupuesto General de Egresos del Estado de Guanajuato, Ley para el Ejercicio y Control de los Recursos Públicos para el estado de Guanajuato, Reglamento Interior de la Universidad Tecnológica de Salamanca; Decreto Gubernativo No. 194 de fecha 10 de enero de 2012.</w:t>
      </w:r>
    </w:p>
    <w:p w14:paraId="7277B459" w14:textId="77777777" w:rsidR="009754F0" w:rsidRPr="00183DE4" w:rsidRDefault="009754F0" w:rsidP="00183DE4">
      <w:pPr>
        <w:jc w:val="both"/>
        <w:rPr>
          <w:rFonts w:ascii="Arial" w:hAnsi="Arial" w:cs="Arial"/>
          <w:sz w:val="20"/>
          <w:szCs w:val="20"/>
        </w:rPr>
      </w:pPr>
    </w:p>
    <w:p w14:paraId="754EA07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b)</w:t>
      </w:r>
      <w:r w:rsidRPr="00183DE4">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646E9885" w14:textId="77777777" w:rsidR="009754F0" w:rsidRPr="00183DE4" w:rsidRDefault="009754F0" w:rsidP="00183DE4">
      <w:pPr>
        <w:jc w:val="both"/>
        <w:rPr>
          <w:rFonts w:ascii="Arial" w:hAnsi="Arial" w:cs="Arial"/>
          <w:sz w:val="20"/>
          <w:szCs w:val="20"/>
        </w:rPr>
      </w:pPr>
    </w:p>
    <w:p w14:paraId="01DE157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Postulados básicos.</w:t>
      </w:r>
    </w:p>
    <w:p w14:paraId="3FE92B7A" w14:textId="77777777" w:rsidR="009754F0" w:rsidRPr="00183DE4" w:rsidRDefault="009754F0" w:rsidP="00183DE4">
      <w:pPr>
        <w:jc w:val="both"/>
        <w:rPr>
          <w:rFonts w:ascii="Arial" w:hAnsi="Arial" w:cs="Arial"/>
          <w:sz w:val="20"/>
          <w:szCs w:val="20"/>
        </w:rPr>
      </w:pPr>
    </w:p>
    <w:p w14:paraId="6F35AD3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normatividad aplicada para la Universidad Tecnológica de Salamanca, para el reconocimiento, valuación y revelación de loa diferentes rubros de la información financiera y las bases para el registro e información presupuestaria, así como su importancia relativa, la consolidación de la información financiera, el devengo contable, la dualidad económica y la consistencia, son conforme a los “POSTULADOS BASICOS DE LA LEY GENERAL DE CONTABILIDAD GUBERNAMENTAL” de tal forma que la información que se proporciones sea oportuna, confiable y comparable para la Toma de Decisiones.</w:t>
      </w:r>
    </w:p>
    <w:p w14:paraId="79438CF8" w14:textId="77777777" w:rsidR="009754F0" w:rsidRPr="00183DE4" w:rsidRDefault="009754F0" w:rsidP="00183DE4">
      <w:pPr>
        <w:jc w:val="both"/>
        <w:rPr>
          <w:rFonts w:ascii="Arial" w:hAnsi="Arial" w:cs="Arial"/>
          <w:b/>
          <w:sz w:val="20"/>
          <w:szCs w:val="20"/>
        </w:rPr>
      </w:pPr>
    </w:p>
    <w:p w14:paraId="2F83E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Normatividad supletoria. En caso de emplear varios grupos de normatividades (normatividades supletorias), deberá realizar la justificación razonable correspondiente, su alineación con los PBCG y a las características cualitativas asociadas descritas en el MCCG (documentos publicados en el Diario Oficial de la Federación, agosto 2009).</w:t>
      </w:r>
    </w:p>
    <w:p w14:paraId="73158FD7" w14:textId="77777777" w:rsidR="009754F0" w:rsidRPr="00183DE4" w:rsidRDefault="009754F0" w:rsidP="00183DE4">
      <w:pPr>
        <w:jc w:val="both"/>
        <w:rPr>
          <w:rFonts w:ascii="Arial" w:hAnsi="Arial" w:cs="Arial"/>
          <w:sz w:val="20"/>
          <w:szCs w:val="20"/>
        </w:rPr>
      </w:pPr>
    </w:p>
    <w:p w14:paraId="1D3C300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 Universidad Tecnológica de Salamanca a la fecha no aplica Normatividad Supletoria</w:t>
      </w:r>
    </w:p>
    <w:p w14:paraId="290B5F60" w14:textId="77777777" w:rsidR="009754F0" w:rsidRPr="00183DE4" w:rsidRDefault="009754F0" w:rsidP="00183DE4">
      <w:pPr>
        <w:jc w:val="both"/>
        <w:rPr>
          <w:rFonts w:ascii="Arial" w:hAnsi="Arial" w:cs="Arial"/>
          <w:sz w:val="20"/>
          <w:szCs w:val="20"/>
        </w:rPr>
      </w:pPr>
    </w:p>
    <w:p w14:paraId="3456AFC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Para las entidades que por primera vez estén implementando la base devengada de acuerdo a la Ley de Contabilidad, deberán:</w:t>
      </w:r>
    </w:p>
    <w:p w14:paraId="7CA15CB2" w14:textId="77777777" w:rsidR="009754F0" w:rsidRPr="00183DE4" w:rsidRDefault="009754F0" w:rsidP="00183DE4">
      <w:pPr>
        <w:jc w:val="both"/>
        <w:rPr>
          <w:rFonts w:ascii="Arial" w:hAnsi="Arial" w:cs="Arial"/>
          <w:sz w:val="20"/>
          <w:szCs w:val="20"/>
        </w:rPr>
      </w:pPr>
    </w:p>
    <w:p w14:paraId="556E13D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las nuevas políticas de reconocimiento.</w:t>
      </w:r>
    </w:p>
    <w:p w14:paraId="7AFC36F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*Plan de implementación.</w:t>
      </w:r>
    </w:p>
    <w:p w14:paraId="38D64281"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*Revelar los cambios en las políticas, la clasificación y medición de las mismas, así como su impacto en la información financiera.</w:t>
      </w:r>
    </w:p>
    <w:p w14:paraId="0EC22A81" w14:textId="77777777" w:rsidR="009754F0" w:rsidRPr="00183DE4" w:rsidRDefault="009754F0" w:rsidP="00183DE4">
      <w:pPr>
        <w:jc w:val="both"/>
        <w:rPr>
          <w:rFonts w:ascii="Arial" w:hAnsi="Arial" w:cs="Arial"/>
          <w:sz w:val="20"/>
          <w:szCs w:val="20"/>
        </w:rPr>
      </w:pPr>
    </w:p>
    <w:p w14:paraId="49E54FF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6. Políticas de Contabilidad Significativas:</w:t>
      </w:r>
    </w:p>
    <w:p w14:paraId="7D395393" w14:textId="77777777" w:rsidR="009754F0" w:rsidRPr="00183DE4" w:rsidRDefault="009754F0" w:rsidP="00183DE4">
      <w:pPr>
        <w:jc w:val="both"/>
        <w:rPr>
          <w:rFonts w:ascii="Arial" w:hAnsi="Arial" w:cs="Arial"/>
          <w:sz w:val="20"/>
          <w:szCs w:val="20"/>
        </w:rPr>
      </w:pPr>
    </w:p>
    <w:p w14:paraId="1B482BF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3ACC2682" w14:textId="77777777" w:rsidR="009754F0" w:rsidRPr="00183DE4" w:rsidRDefault="009754F0" w:rsidP="00183DE4">
      <w:pPr>
        <w:jc w:val="both"/>
        <w:rPr>
          <w:rFonts w:ascii="Arial" w:hAnsi="Arial" w:cs="Arial"/>
          <w:sz w:val="20"/>
          <w:szCs w:val="20"/>
        </w:rPr>
      </w:pPr>
    </w:p>
    <w:p w14:paraId="44EE196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Actualización: se informará del método utilizado para la actualización del valor de los activos, pasivos y Hacienda Pública y/o patrimonio y las razones de dicha elección. Así como informar de la desconexión o reconexión inflacionaria:</w:t>
      </w:r>
    </w:p>
    <w:p w14:paraId="7D514587" w14:textId="77777777" w:rsidR="009754F0" w:rsidRPr="00183DE4" w:rsidRDefault="009754F0" w:rsidP="00183DE4">
      <w:pPr>
        <w:jc w:val="both"/>
        <w:rPr>
          <w:rFonts w:ascii="Arial" w:hAnsi="Arial" w:cs="Arial"/>
          <w:sz w:val="20"/>
          <w:szCs w:val="20"/>
        </w:rPr>
      </w:pPr>
    </w:p>
    <w:p w14:paraId="31E5465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utilizado métodos de actualización de los Activos, Pasivos y Patrimonio</w:t>
      </w:r>
    </w:p>
    <w:p w14:paraId="43C7C8C7" w14:textId="77777777" w:rsidR="009754F0" w:rsidRPr="00183DE4" w:rsidRDefault="009754F0" w:rsidP="00183DE4">
      <w:pPr>
        <w:jc w:val="both"/>
        <w:rPr>
          <w:rFonts w:ascii="Arial" w:hAnsi="Arial" w:cs="Arial"/>
          <w:sz w:val="20"/>
          <w:szCs w:val="20"/>
        </w:rPr>
      </w:pPr>
    </w:p>
    <w:p w14:paraId="626E3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Informar sobre la realización de operaciones en el extranjero y de sus efectos en la información financiera gubernamental:</w:t>
      </w:r>
    </w:p>
    <w:p w14:paraId="3A9930D0" w14:textId="77777777" w:rsidR="009754F0" w:rsidRPr="00183DE4" w:rsidRDefault="009754F0" w:rsidP="00183DE4">
      <w:pPr>
        <w:jc w:val="both"/>
        <w:rPr>
          <w:rFonts w:ascii="Arial" w:hAnsi="Arial" w:cs="Arial"/>
          <w:sz w:val="20"/>
          <w:szCs w:val="20"/>
        </w:rPr>
      </w:pPr>
    </w:p>
    <w:p w14:paraId="21F270F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han tenido operaciones con el extranjero</w:t>
      </w:r>
    </w:p>
    <w:p w14:paraId="6CE529B8" w14:textId="77777777" w:rsidR="009754F0" w:rsidRPr="00183DE4" w:rsidRDefault="009754F0" w:rsidP="00183DE4">
      <w:pPr>
        <w:jc w:val="both"/>
        <w:rPr>
          <w:rFonts w:ascii="Arial" w:hAnsi="Arial" w:cs="Arial"/>
          <w:sz w:val="20"/>
          <w:szCs w:val="20"/>
        </w:rPr>
      </w:pPr>
    </w:p>
    <w:p w14:paraId="2E7E5E3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Método de valuación de la inversión en acciones de Compañías subsidiarias no consolidadas y asociadas:</w:t>
      </w:r>
    </w:p>
    <w:p w14:paraId="40F082CC" w14:textId="77777777" w:rsidR="009754F0" w:rsidRPr="00183DE4" w:rsidRDefault="009754F0" w:rsidP="00183DE4">
      <w:pPr>
        <w:jc w:val="both"/>
        <w:rPr>
          <w:rFonts w:ascii="Arial" w:hAnsi="Arial" w:cs="Arial"/>
          <w:sz w:val="20"/>
          <w:szCs w:val="20"/>
        </w:rPr>
      </w:pPr>
    </w:p>
    <w:p w14:paraId="65D6B5C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907B1A9" w14:textId="77777777" w:rsidR="009754F0" w:rsidRPr="00183DE4" w:rsidRDefault="009754F0" w:rsidP="00183DE4">
      <w:pPr>
        <w:jc w:val="both"/>
        <w:rPr>
          <w:rFonts w:ascii="Arial" w:hAnsi="Arial" w:cs="Arial"/>
          <w:sz w:val="20"/>
          <w:szCs w:val="20"/>
        </w:rPr>
      </w:pPr>
    </w:p>
    <w:p w14:paraId="3737869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lastRenderedPageBreak/>
        <w:t>d)</w:t>
      </w:r>
      <w:r w:rsidRPr="00183DE4">
        <w:rPr>
          <w:rFonts w:ascii="Arial" w:hAnsi="Arial" w:cs="Arial"/>
          <w:sz w:val="20"/>
          <w:szCs w:val="20"/>
        </w:rPr>
        <w:t xml:space="preserve"> Sistema y método de valuación de inventarios y costo de lo vendido:</w:t>
      </w:r>
    </w:p>
    <w:p w14:paraId="68336C21" w14:textId="77777777" w:rsidR="009754F0" w:rsidRPr="00183DE4" w:rsidRDefault="009754F0" w:rsidP="00183DE4">
      <w:pPr>
        <w:jc w:val="both"/>
        <w:rPr>
          <w:rFonts w:ascii="Arial" w:hAnsi="Arial" w:cs="Arial"/>
          <w:sz w:val="20"/>
          <w:szCs w:val="20"/>
        </w:rPr>
      </w:pPr>
    </w:p>
    <w:p w14:paraId="17C811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165303A" w14:textId="77777777" w:rsidR="009754F0" w:rsidRPr="00183DE4" w:rsidRDefault="009754F0" w:rsidP="00183DE4">
      <w:pPr>
        <w:jc w:val="both"/>
        <w:rPr>
          <w:rFonts w:ascii="Arial" w:hAnsi="Arial" w:cs="Arial"/>
          <w:sz w:val="20"/>
          <w:szCs w:val="20"/>
        </w:rPr>
      </w:pPr>
    </w:p>
    <w:p w14:paraId="51F80D9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Beneficios a empleados: revelar el cálculo de la reserva actuarial, valor presente de los ingresos esperados comparado con el valor presente de la estimación de gastos tanto de los beneficiarios actuales como futuros:</w:t>
      </w:r>
    </w:p>
    <w:p w14:paraId="342D4E1E" w14:textId="77777777" w:rsidR="009754F0" w:rsidRPr="00183DE4" w:rsidRDefault="009754F0" w:rsidP="00183DE4">
      <w:pPr>
        <w:jc w:val="both"/>
        <w:rPr>
          <w:rFonts w:ascii="Arial" w:hAnsi="Arial" w:cs="Arial"/>
          <w:sz w:val="20"/>
          <w:szCs w:val="20"/>
        </w:rPr>
      </w:pPr>
    </w:p>
    <w:p w14:paraId="491A919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B502CA4" w14:textId="77777777" w:rsidR="009754F0" w:rsidRPr="00183DE4" w:rsidRDefault="009754F0" w:rsidP="00183DE4">
      <w:pPr>
        <w:jc w:val="both"/>
        <w:rPr>
          <w:rFonts w:ascii="Arial" w:hAnsi="Arial" w:cs="Arial"/>
          <w:sz w:val="20"/>
          <w:szCs w:val="20"/>
        </w:rPr>
      </w:pPr>
    </w:p>
    <w:p w14:paraId="6DCD60C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Provisiones: objetivo de su creación, monto y plazo:</w:t>
      </w:r>
    </w:p>
    <w:p w14:paraId="7B076E6A" w14:textId="77777777" w:rsidR="009754F0" w:rsidRPr="00183DE4" w:rsidRDefault="009754F0" w:rsidP="00183DE4">
      <w:pPr>
        <w:jc w:val="both"/>
        <w:rPr>
          <w:rFonts w:ascii="Arial" w:hAnsi="Arial" w:cs="Arial"/>
          <w:sz w:val="20"/>
          <w:szCs w:val="20"/>
        </w:rPr>
      </w:pPr>
    </w:p>
    <w:p w14:paraId="6723BF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77BB51" w14:textId="77777777" w:rsidR="009754F0" w:rsidRPr="00183DE4" w:rsidRDefault="009754F0" w:rsidP="00183DE4">
      <w:pPr>
        <w:jc w:val="both"/>
        <w:rPr>
          <w:rFonts w:ascii="Arial" w:hAnsi="Arial" w:cs="Arial"/>
          <w:sz w:val="20"/>
          <w:szCs w:val="20"/>
        </w:rPr>
      </w:pPr>
    </w:p>
    <w:p w14:paraId="4959F661"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Reservas: objetivo de su creación, monto y plazo:</w:t>
      </w:r>
    </w:p>
    <w:p w14:paraId="1B4DCCEB" w14:textId="77777777" w:rsidR="009754F0" w:rsidRPr="00183DE4" w:rsidRDefault="009754F0" w:rsidP="00183DE4">
      <w:pPr>
        <w:jc w:val="both"/>
        <w:rPr>
          <w:rFonts w:ascii="Arial" w:hAnsi="Arial" w:cs="Arial"/>
          <w:sz w:val="20"/>
          <w:szCs w:val="20"/>
        </w:rPr>
      </w:pPr>
    </w:p>
    <w:p w14:paraId="12BB198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2ECE444E" w14:textId="77777777" w:rsidR="009754F0" w:rsidRPr="00183DE4" w:rsidRDefault="009754F0" w:rsidP="00183DE4">
      <w:pPr>
        <w:jc w:val="both"/>
        <w:rPr>
          <w:rFonts w:ascii="Arial" w:hAnsi="Arial" w:cs="Arial"/>
          <w:sz w:val="20"/>
          <w:szCs w:val="20"/>
        </w:rPr>
      </w:pPr>
    </w:p>
    <w:p w14:paraId="3A1F210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742E853" w14:textId="77777777" w:rsidR="009754F0" w:rsidRPr="00183DE4" w:rsidRDefault="009754F0" w:rsidP="00183DE4">
      <w:pPr>
        <w:jc w:val="both"/>
        <w:rPr>
          <w:rFonts w:ascii="Arial" w:hAnsi="Arial" w:cs="Arial"/>
          <w:sz w:val="20"/>
          <w:szCs w:val="20"/>
        </w:rPr>
      </w:pPr>
    </w:p>
    <w:p w14:paraId="3CD7AFB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i)</w:t>
      </w:r>
      <w:r w:rsidRPr="00183DE4">
        <w:rPr>
          <w:rFonts w:ascii="Arial" w:hAnsi="Arial" w:cs="Arial"/>
          <w:sz w:val="20"/>
          <w:szCs w:val="20"/>
        </w:rPr>
        <w:t xml:space="preserve"> Reclasificaciones: Se deben revelar todos aquellos movimientos entre cuentas por efectos de cambios en los tipos de operaciones:</w:t>
      </w:r>
    </w:p>
    <w:p w14:paraId="2792E9E6" w14:textId="77777777" w:rsidR="009754F0" w:rsidRPr="00183DE4" w:rsidRDefault="009754F0" w:rsidP="00183DE4">
      <w:pPr>
        <w:jc w:val="both"/>
        <w:rPr>
          <w:rFonts w:ascii="Arial" w:hAnsi="Arial" w:cs="Arial"/>
          <w:sz w:val="20"/>
          <w:szCs w:val="20"/>
        </w:rPr>
      </w:pPr>
    </w:p>
    <w:p w14:paraId="4A23E60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E3DAE8E" w14:textId="77777777" w:rsidR="009754F0" w:rsidRPr="00183DE4" w:rsidRDefault="009754F0" w:rsidP="00183DE4">
      <w:pPr>
        <w:jc w:val="both"/>
        <w:rPr>
          <w:rFonts w:ascii="Arial" w:hAnsi="Arial" w:cs="Arial"/>
          <w:sz w:val="20"/>
          <w:szCs w:val="20"/>
        </w:rPr>
      </w:pPr>
    </w:p>
    <w:p w14:paraId="7F5E670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7. Posición en Moneda Extranjera y Protección por Riesgo Cambiario:</w:t>
      </w:r>
    </w:p>
    <w:p w14:paraId="63A2A75E" w14:textId="77777777" w:rsidR="009754F0" w:rsidRPr="00183DE4" w:rsidRDefault="009754F0" w:rsidP="00183DE4">
      <w:pPr>
        <w:jc w:val="both"/>
        <w:rPr>
          <w:rFonts w:ascii="Arial" w:hAnsi="Arial" w:cs="Arial"/>
          <w:sz w:val="20"/>
          <w:szCs w:val="20"/>
        </w:rPr>
      </w:pPr>
    </w:p>
    <w:p w14:paraId="71FBB3DC"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sobre:</w:t>
      </w:r>
    </w:p>
    <w:p w14:paraId="603002A5" w14:textId="77777777" w:rsidR="009754F0" w:rsidRPr="00183DE4" w:rsidRDefault="009754F0" w:rsidP="00183DE4">
      <w:pPr>
        <w:jc w:val="both"/>
        <w:rPr>
          <w:rFonts w:ascii="Arial" w:hAnsi="Arial" w:cs="Arial"/>
          <w:sz w:val="20"/>
          <w:szCs w:val="20"/>
        </w:rPr>
      </w:pPr>
    </w:p>
    <w:p w14:paraId="2CE25A5F"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Activos en moneda extranjera:</w:t>
      </w:r>
    </w:p>
    <w:p w14:paraId="02B1AD9B" w14:textId="77777777" w:rsidR="009754F0" w:rsidRPr="00183DE4" w:rsidRDefault="009754F0" w:rsidP="00183DE4">
      <w:pPr>
        <w:jc w:val="both"/>
        <w:rPr>
          <w:rFonts w:ascii="Arial" w:hAnsi="Arial" w:cs="Arial"/>
          <w:sz w:val="20"/>
          <w:szCs w:val="20"/>
        </w:rPr>
      </w:pPr>
    </w:p>
    <w:p w14:paraId="755DC48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949A293" w14:textId="77777777" w:rsidR="009754F0" w:rsidRPr="00183DE4" w:rsidRDefault="009754F0" w:rsidP="00183DE4">
      <w:pPr>
        <w:jc w:val="both"/>
        <w:rPr>
          <w:rFonts w:ascii="Arial" w:hAnsi="Arial" w:cs="Arial"/>
          <w:sz w:val="20"/>
          <w:szCs w:val="20"/>
        </w:rPr>
      </w:pPr>
    </w:p>
    <w:p w14:paraId="08EEB40D"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Pasivos en moneda extranjera:</w:t>
      </w:r>
    </w:p>
    <w:p w14:paraId="487E179C" w14:textId="77777777" w:rsidR="009754F0" w:rsidRPr="00183DE4" w:rsidRDefault="009754F0" w:rsidP="00183DE4">
      <w:pPr>
        <w:jc w:val="both"/>
        <w:rPr>
          <w:rFonts w:ascii="Arial" w:hAnsi="Arial" w:cs="Arial"/>
          <w:sz w:val="20"/>
          <w:szCs w:val="20"/>
        </w:rPr>
      </w:pPr>
    </w:p>
    <w:p w14:paraId="285CA10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49B4059" w14:textId="77777777" w:rsidR="009754F0" w:rsidRPr="00183DE4" w:rsidRDefault="009754F0" w:rsidP="00183DE4">
      <w:pPr>
        <w:jc w:val="both"/>
        <w:rPr>
          <w:rFonts w:ascii="Arial" w:hAnsi="Arial" w:cs="Arial"/>
          <w:sz w:val="20"/>
          <w:szCs w:val="20"/>
        </w:rPr>
      </w:pPr>
    </w:p>
    <w:p w14:paraId="53005AE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c) </w:t>
      </w:r>
      <w:r w:rsidRPr="00183DE4">
        <w:rPr>
          <w:rFonts w:ascii="Arial" w:hAnsi="Arial" w:cs="Arial"/>
          <w:sz w:val="20"/>
          <w:szCs w:val="20"/>
        </w:rPr>
        <w:t>Posición en moneda extranjera:</w:t>
      </w:r>
    </w:p>
    <w:p w14:paraId="4FABBE62" w14:textId="77777777" w:rsidR="009754F0" w:rsidRPr="00183DE4" w:rsidRDefault="009754F0" w:rsidP="00183DE4">
      <w:pPr>
        <w:jc w:val="both"/>
        <w:rPr>
          <w:rFonts w:ascii="Arial" w:hAnsi="Arial" w:cs="Arial"/>
          <w:sz w:val="20"/>
          <w:szCs w:val="20"/>
        </w:rPr>
      </w:pPr>
    </w:p>
    <w:p w14:paraId="0AB3A27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6CD2E0" w14:textId="77777777" w:rsidR="009754F0" w:rsidRPr="00183DE4" w:rsidRDefault="009754F0" w:rsidP="00183DE4">
      <w:pPr>
        <w:jc w:val="both"/>
        <w:rPr>
          <w:rFonts w:ascii="Arial" w:hAnsi="Arial" w:cs="Arial"/>
          <w:sz w:val="20"/>
          <w:szCs w:val="20"/>
        </w:rPr>
      </w:pPr>
    </w:p>
    <w:p w14:paraId="71E2A9D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Tipo de cambio:</w:t>
      </w:r>
    </w:p>
    <w:p w14:paraId="1F99E450" w14:textId="77777777" w:rsidR="009754F0" w:rsidRPr="00183DE4" w:rsidRDefault="009754F0" w:rsidP="00183DE4">
      <w:pPr>
        <w:jc w:val="both"/>
        <w:rPr>
          <w:rFonts w:ascii="Arial" w:hAnsi="Arial" w:cs="Arial"/>
          <w:sz w:val="20"/>
          <w:szCs w:val="20"/>
        </w:rPr>
      </w:pPr>
    </w:p>
    <w:p w14:paraId="6DD890D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838DE99" w14:textId="77777777" w:rsidR="009754F0" w:rsidRPr="00183DE4" w:rsidRDefault="009754F0" w:rsidP="00183DE4">
      <w:pPr>
        <w:jc w:val="both"/>
        <w:rPr>
          <w:rFonts w:ascii="Arial" w:hAnsi="Arial" w:cs="Arial"/>
          <w:sz w:val="20"/>
          <w:szCs w:val="20"/>
        </w:rPr>
      </w:pPr>
    </w:p>
    <w:p w14:paraId="28C05572"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Equivalente en moneda nacional:</w:t>
      </w:r>
    </w:p>
    <w:p w14:paraId="759AC34A" w14:textId="77777777" w:rsidR="009754F0" w:rsidRPr="00183DE4" w:rsidRDefault="009754F0" w:rsidP="00183DE4">
      <w:pPr>
        <w:jc w:val="both"/>
        <w:rPr>
          <w:rFonts w:ascii="Arial" w:hAnsi="Arial" w:cs="Arial"/>
          <w:sz w:val="20"/>
          <w:szCs w:val="20"/>
        </w:rPr>
      </w:pPr>
    </w:p>
    <w:p w14:paraId="4D42D5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80B7DE7" w14:textId="77777777" w:rsidR="009754F0" w:rsidRPr="00183DE4" w:rsidRDefault="009754F0" w:rsidP="00183DE4">
      <w:pPr>
        <w:jc w:val="both"/>
        <w:rPr>
          <w:rFonts w:ascii="Arial" w:hAnsi="Arial" w:cs="Arial"/>
          <w:sz w:val="20"/>
          <w:szCs w:val="20"/>
        </w:rPr>
      </w:pPr>
    </w:p>
    <w:p w14:paraId="0BE9C1AA"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 anterior por cada tipo de moneda extranjera que se encuentre en los rubros de activo y pasivo.</w:t>
      </w:r>
    </w:p>
    <w:p w14:paraId="11FD9692" w14:textId="06DA55A9"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informará sobre los métodos de protección de riesgo por variaciones en el tipo de cambio.</w:t>
      </w:r>
    </w:p>
    <w:p w14:paraId="48862B3E" w14:textId="77777777" w:rsidR="009754F0" w:rsidRPr="00183DE4" w:rsidRDefault="009754F0" w:rsidP="00183DE4">
      <w:pPr>
        <w:jc w:val="both"/>
        <w:rPr>
          <w:rFonts w:ascii="Arial" w:hAnsi="Arial" w:cs="Arial"/>
          <w:sz w:val="20"/>
          <w:szCs w:val="20"/>
        </w:rPr>
      </w:pPr>
    </w:p>
    <w:p w14:paraId="5E35B8F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8. Reporte Analítico del Activo:</w:t>
      </w:r>
    </w:p>
    <w:p w14:paraId="4E050A6F" w14:textId="77777777" w:rsidR="009754F0" w:rsidRPr="00183DE4" w:rsidRDefault="009754F0" w:rsidP="00183DE4">
      <w:pPr>
        <w:jc w:val="both"/>
        <w:rPr>
          <w:rFonts w:ascii="Arial" w:hAnsi="Arial" w:cs="Arial"/>
          <w:sz w:val="20"/>
          <w:szCs w:val="20"/>
        </w:rPr>
      </w:pPr>
    </w:p>
    <w:p w14:paraId="326E1B18"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Debe mostrar la siguiente información:</w:t>
      </w:r>
    </w:p>
    <w:p w14:paraId="4512283B" w14:textId="77777777" w:rsidR="009754F0" w:rsidRPr="00183DE4" w:rsidRDefault="009754F0" w:rsidP="00183DE4">
      <w:pPr>
        <w:jc w:val="both"/>
        <w:rPr>
          <w:rFonts w:ascii="Arial" w:hAnsi="Arial" w:cs="Arial"/>
          <w:sz w:val="20"/>
          <w:szCs w:val="20"/>
        </w:rPr>
      </w:pPr>
    </w:p>
    <w:p w14:paraId="649E4855"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Vida útil o porcentajes de depreciación, deterioro o amortización utilizados en los diferentes tipos de activos:</w:t>
      </w:r>
    </w:p>
    <w:p w14:paraId="2749CA1C" w14:textId="77777777" w:rsidR="009754F0" w:rsidRPr="00183DE4" w:rsidRDefault="009754F0" w:rsidP="00183DE4">
      <w:pPr>
        <w:jc w:val="both"/>
        <w:rPr>
          <w:rFonts w:ascii="Arial" w:hAnsi="Arial" w:cs="Arial"/>
          <w:sz w:val="20"/>
          <w:szCs w:val="20"/>
        </w:rPr>
      </w:pPr>
    </w:p>
    <w:p w14:paraId="54DB56D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Se aplica la Depreciación en Línea recta</w:t>
      </w:r>
    </w:p>
    <w:p w14:paraId="7DA002B8" w14:textId="77777777" w:rsidR="009754F0" w:rsidRPr="00183DE4" w:rsidRDefault="009754F0" w:rsidP="00183DE4">
      <w:pPr>
        <w:jc w:val="both"/>
        <w:rPr>
          <w:rFonts w:ascii="Arial" w:hAnsi="Arial" w:cs="Arial"/>
          <w:sz w:val="20"/>
          <w:szCs w:val="20"/>
        </w:rPr>
      </w:pPr>
    </w:p>
    <w:p w14:paraId="7E9554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Cambios en el porcentaje de depreciación o valor residual de los activos:</w:t>
      </w:r>
    </w:p>
    <w:p w14:paraId="41C4EB01" w14:textId="77777777" w:rsidR="009754F0" w:rsidRPr="00183DE4" w:rsidRDefault="009754F0" w:rsidP="00183DE4">
      <w:pPr>
        <w:jc w:val="both"/>
        <w:rPr>
          <w:rFonts w:ascii="Arial" w:hAnsi="Arial" w:cs="Arial"/>
          <w:sz w:val="20"/>
          <w:szCs w:val="20"/>
        </w:rPr>
      </w:pPr>
    </w:p>
    <w:p w14:paraId="3A785F3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6E91F90" w14:textId="77777777" w:rsidR="009754F0" w:rsidRPr="00183DE4" w:rsidRDefault="009754F0" w:rsidP="00183DE4">
      <w:pPr>
        <w:jc w:val="both"/>
        <w:rPr>
          <w:rFonts w:ascii="Arial" w:hAnsi="Arial" w:cs="Arial"/>
          <w:sz w:val="20"/>
          <w:szCs w:val="20"/>
        </w:rPr>
      </w:pPr>
    </w:p>
    <w:p w14:paraId="286CB0B4"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Importe de los gastos capitalizados en el ejercicio, tanto financieros como de investigación y desarrollo:</w:t>
      </w:r>
    </w:p>
    <w:p w14:paraId="6CC3B79D" w14:textId="77777777" w:rsidR="009754F0" w:rsidRPr="00183DE4" w:rsidRDefault="009754F0" w:rsidP="00183DE4">
      <w:pPr>
        <w:jc w:val="both"/>
        <w:rPr>
          <w:rFonts w:ascii="Arial" w:hAnsi="Arial" w:cs="Arial"/>
          <w:sz w:val="20"/>
          <w:szCs w:val="20"/>
        </w:rPr>
      </w:pPr>
    </w:p>
    <w:p w14:paraId="2B67F427"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E0E4838" w14:textId="77777777" w:rsidR="009754F0" w:rsidRPr="00183DE4" w:rsidRDefault="009754F0" w:rsidP="00183DE4">
      <w:pPr>
        <w:jc w:val="both"/>
        <w:rPr>
          <w:rFonts w:ascii="Arial" w:hAnsi="Arial" w:cs="Arial"/>
          <w:sz w:val="20"/>
          <w:szCs w:val="20"/>
        </w:rPr>
      </w:pPr>
    </w:p>
    <w:p w14:paraId="14F5743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Riegos por tipo de cambio o tipo de interés de las inversiones financieras:</w:t>
      </w:r>
    </w:p>
    <w:p w14:paraId="27777290" w14:textId="77777777" w:rsidR="009754F0" w:rsidRPr="00183DE4" w:rsidRDefault="009754F0" w:rsidP="00183DE4">
      <w:pPr>
        <w:jc w:val="both"/>
        <w:rPr>
          <w:rFonts w:ascii="Arial" w:hAnsi="Arial" w:cs="Arial"/>
          <w:sz w:val="20"/>
          <w:szCs w:val="20"/>
        </w:rPr>
      </w:pPr>
    </w:p>
    <w:p w14:paraId="2C72D45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4C48886F" w14:textId="77777777" w:rsidR="009754F0" w:rsidRPr="00183DE4" w:rsidRDefault="009754F0" w:rsidP="00183DE4">
      <w:pPr>
        <w:jc w:val="both"/>
        <w:rPr>
          <w:rFonts w:ascii="Arial" w:hAnsi="Arial" w:cs="Arial"/>
          <w:sz w:val="20"/>
          <w:szCs w:val="20"/>
        </w:rPr>
      </w:pPr>
    </w:p>
    <w:p w14:paraId="15A6F6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 xml:space="preserve">e) </w:t>
      </w:r>
      <w:r w:rsidRPr="00183DE4">
        <w:rPr>
          <w:rFonts w:ascii="Arial" w:hAnsi="Arial" w:cs="Arial"/>
          <w:sz w:val="20"/>
          <w:szCs w:val="20"/>
        </w:rPr>
        <w:t>Valor activado en el ejercicio de los bienes construidos por la entidad:</w:t>
      </w:r>
    </w:p>
    <w:p w14:paraId="413AF205" w14:textId="77777777" w:rsidR="009754F0" w:rsidRPr="00183DE4" w:rsidRDefault="009754F0" w:rsidP="00183DE4">
      <w:pPr>
        <w:jc w:val="both"/>
        <w:rPr>
          <w:rFonts w:ascii="Arial" w:hAnsi="Arial" w:cs="Arial"/>
          <w:sz w:val="20"/>
          <w:szCs w:val="20"/>
        </w:rPr>
      </w:pPr>
    </w:p>
    <w:p w14:paraId="0D638FB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F8D60E2" w14:textId="77777777" w:rsidR="009754F0" w:rsidRPr="00183DE4" w:rsidRDefault="009754F0" w:rsidP="00183DE4">
      <w:pPr>
        <w:jc w:val="both"/>
        <w:rPr>
          <w:rFonts w:ascii="Arial" w:hAnsi="Arial" w:cs="Arial"/>
          <w:sz w:val="20"/>
          <w:szCs w:val="20"/>
        </w:rPr>
      </w:pPr>
    </w:p>
    <w:p w14:paraId="2DCA8C2E"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f)</w:t>
      </w:r>
      <w:r w:rsidRPr="00183DE4">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4E707E87" w14:textId="77777777" w:rsidR="009754F0" w:rsidRPr="00183DE4" w:rsidRDefault="009754F0" w:rsidP="00183DE4">
      <w:pPr>
        <w:jc w:val="both"/>
        <w:rPr>
          <w:rFonts w:ascii="Arial" w:hAnsi="Arial" w:cs="Arial"/>
          <w:sz w:val="20"/>
          <w:szCs w:val="20"/>
        </w:rPr>
      </w:pPr>
    </w:p>
    <w:p w14:paraId="4CB2D543"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03AC4B7A" w14:textId="77777777" w:rsidR="009754F0" w:rsidRPr="00183DE4" w:rsidRDefault="009754F0" w:rsidP="00183DE4">
      <w:pPr>
        <w:jc w:val="both"/>
        <w:rPr>
          <w:rFonts w:ascii="Arial" w:hAnsi="Arial" w:cs="Arial"/>
          <w:sz w:val="20"/>
          <w:szCs w:val="20"/>
        </w:rPr>
      </w:pPr>
    </w:p>
    <w:p w14:paraId="03D83C8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g)</w:t>
      </w:r>
      <w:r w:rsidRPr="00183DE4">
        <w:rPr>
          <w:rFonts w:ascii="Arial" w:hAnsi="Arial" w:cs="Arial"/>
          <w:sz w:val="20"/>
          <w:szCs w:val="20"/>
        </w:rPr>
        <w:t xml:space="preserve"> Desmantelamiento de Activos, procedimientos, implicaciones, efectos contables:</w:t>
      </w:r>
    </w:p>
    <w:p w14:paraId="199692CF" w14:textId="77777777" w:rsidR="009754F0" w:rsidRPr="00183DE4" w:rsidRDefault="009754F0" w:rsidP="00183DE4">
      <w:pPr>
        <w:jc w:val="both"/>
        <w:rPr>
          <w:rFonts w:ascii="Arial" w:hAnsi="Arial" w:cs="Arial"/>
          <w:sz w:val="20"/>
          <w:szCs w:val="20"/>
        </w:rPr>
      </w:pPr>
    </w:p>
    <w:p w14:paraId="408AD68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No aplica</w:t>
      </w:r>
    </w:p>
    <w:p w14:paraId="2954F640" w14:textId="77777777" w:rsidR="009754F0" w:rsidRPr="00183DE4" w:rsidRDefault="009754F0" w:rsidP="00183DE4">
      <w:pPr>
        <w:jc w:val="both"/>
        <w:rPr>
          <w:rFonts w:ascii="Arial" w:hAnsi="Arial" w:cs="Arial"/>
          <w:sz w:val="20"/>
          <w:szCs w:val="20"/>
        </w:rPr>
      </w:pPr>
    </w:p>
    <w:p w14:paraId="3B77BCB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h)</w:t>
      </w:r>
      <w:r w:rsidRPr="00183DE4">
        <w:rPr>
          <w:rFonts w:ascii="Arial" w:hAnsi="Arial" w:cs="Arial"/>
          <w:sz w:val="20"/>
          <w:szCs w:val="20"/>
        </w:rPr>
        <w:t xml:space="preserve"> Administración de activos; planeación con el objetivo de que el ente los utilice de manera más efectiva:</w:t>
      </w:r>
    </w:p>
    <w:p w14:paraId="7B9036B5" w14:textId="77777777" w:rsidR="009754F0" w:rsidRPr="00183DE4" w:rsidRDefault="009754F0" w:rsidP="00183DE4">
      <w:pPr>
        <w:jc w:val="both"/>
        <w:rPr>
          <w:rFonts w:ascii="Arial" w:hAnsi="Arial" w:cs="Arial"/>
          <w:sz w:val="20"/>
          <w:szCs w:val="20"/>
        </w:rPr>
      </w:pPr>
    </w:p>
    <w:p w14:paraId="668FC9B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53A7D5F" w14:textId="77777777" w:rsidR="009754F0" w:rsidRPr="00183DE4" w:rsidRDefault="009754F0" w:rsidP="00183DE4">
      <w:pPr>
        <w:jc w:val="both"/>
        <w:rPr>
          <w:rFonts w:ascii="Arial" w:hAnsi="Arial" w:cs="Arial"/>
          <w:sz w:val="20"/>
          <w:szCs w:val="20"/>
        </w:rPr>
      </w:pPr>
    </w:p>
    <w:p w14:paraId="1FE88413"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Adicionalmente, se deben incluir las explicaciones de las principales variaciones en el activo, en cuadros comparativos como sigue:</w:t>
      </w:r>
    </w:p>
    <w:p w14:paraId="361F8938" w14:textId="77777777" w:rsidR="009754F0" w:rsidRPr="00183DE4" w:rsidRDefault="009754F0" w:rsidP="00183DE4">
      <w:pPr>
        <w:jc w:val="both"/>
        <w:rPr>
          <w:rFonts w:ascii="Arial" w:hAnsi="Arial" w:cs="Arial"/>
          <w:sz w:val="20"/>
          <w:szCs w:val="20"/>
        </w:rPr>
      </w:pPr>
    </w:p>
    <w:p w14:paraId="72E00BA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Inversiones en valores:</w:t>
      </w:r>
    </w:p>
    <w:p w14:paraId="182BC523" w14:textId="77777777" w:rsidR="009754F0" w:rsidRPr="00183DE4" w:rsidRDefault="009754F0" w:rsidP="00183DE4">
      <w:pPr>
        <w:jc w:val="both"/>
        <w:rPr>
          <w:rFonts w:ascii="Arial" w:hAnsi="Arial" w:cs="Arial"/>
          <w:sz w:val="20"/>
          <w:szCs w:val="20"/>
        </w:rPr>
      </w:pPr>
    </w:p>
    <w:p w14:paraId="62367D7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5F794A4D" w14:textId="77777777" w:rsidR="009754F0" w:rsidRPr="00183DE4" w:rsidRDefault="009754F0" w:rsidP="00183DE4">
      <w:pPr>
        <w:jc w:val="both"/>
        <w:rPr>
          <w:rFonts w:ascii="Arial" w:hAnsi="Arial" w:cs="Arial"/>
          <w:sz w:val="20"/>
          <w:szCs w:val="20"/>
        </w:rPr>
      </w:pPr>
    </w:p>
    <w:p w14:paraId="4B244BA8"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Patrimonio de Organismos descentralizados de Control Presupuestario Indirecto:</w:t>
      </w:r>
    </w:p>
    <w:p w14:paraId="4A774426" w14:textId="77777777" w:rsidR="009754F0" w:rsidRPr="00183DE4" w:rsidRDefault="009754F0" w:rsidP="00183DE4">
      <w:pPr>
        <w:jc w:val="both"/>
        <w:rPr>
          <w:rFonts w:ascii="Arial" w:hAnsi="Arial" w:cs="Arial"/>
          <w:sz w:val="20"/>
          <w:szCs w:val="20"/>
        </w:rPr>
      </w:pPr>
    </w:p>
    <w:p w14:paraId="5C7E30A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701D887A" w14:textId="77777777" w:rsidR="009754F0" w:rsidRPr="00183DE4" w:rsidRDefault="009754F0" w:rsidP="00183DE4">
      <w:pPr>
        <w:jc w:val="both"/>
        <w:rPr>
          <w:rFonts w:ascii="Arial" w:hAnsi="Arial" w:cs="Arial"/>
          <w:sz w:val="20"/>
          <w:szCs w:val="20"/>
        </w:rPr>
      </w:pPr>
    </w:p>
    <w:p w14:paraId="38099C4B"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c)</w:t>
      </w:r>
      <w:r w:rsidRPr="00183DE4">
        <w:rPr>
          <w:rFonts w:ascii="Arial" w:hAnsi="Arial" w:cs="Arial"/>
          <w:sz w:val="20"/>
          <w:szCs w:val="20"/>
        </w:rPr>
        <w:t xml:space="preserve"> Inversiones en empresas de participación mayoritaria:</w:t>
      </w:r>
    </w:p>
    <w:p w14:paraId="63BDB958" w14:textId="77777777" w:rsidR="009754F0" w:rsidRPr="00183DE4" w:rsidRDefault="009754F0" w:rsidP="00183DE4">
      <w:pPr>
        <w:jc w:val="both"/>
        <w:rPr>
          <w:rFonts w:ascii="Arial" w:hAnsi="Arial" w:cs="Arial"/>
          <w:sz w:val="20"/>
          <w:szCs w:val="20"/>
        </w:rPr>
      </w:pPr>
    </w:p>
    <w:p w14:paraId="007C457B"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3A82315D" w14:textId="77777777" w:rsidR="009754F0" w:rsidRPr="00183DE4" w:rsidRDefault="009754F0" w:rsidP="00183DE4">
      <w:pPr>
        <w:jc w:val="both"/>
        <w:rPr>
          <w:rFonts w:ascii="Arial" w:hAnsi="Arial" w:cs="Arial"/>
          <w:sz w:val="20"/>
          <w:szCs w:val="20"/>
        </w:rPr>
      </w:pPr>
    </w:p>
    <w:p w14:paraId="2FAC80A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d)</w:t>
      </w:r>
      <w:r w:rsidRPr="00183DE4">
        <w:rPr>
          <w:rFonts w:ascii="Arial" w:hAnsi="Arial" w:cs="Arial"/>
          <w:sz w:val="20"/>
          <w:szCs w:val="20"/>
        </w:rPr>
        <w:t xml:space="preserve"> Inversiones en empresas de participación minoritaria:</w:t>
      </w:r>
    </w:p>
    <w:p w14:paraId="07D11B28" w14:textId="77777777" w:rsidR="009754F0" w:rsidRPr="00183DE4" w:rsidRDefault="009754F0" w:rsidP="00183DE4">
      <w:pPr>
        <w:jc w:val="both"/>
        <w:rPr>
          <w:rFonts w:ascii="Arial" w:hAnsi="Arial" w:cs="Arial"/>
          <w:sz w:val="20"/>
          <w:szCs w:val="20"/>
        </w:rPr>
      </w:pPr>
    </w:p>
    <w:p w14:paraId="7C0B8ABF"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61D6AA96" w14:textId="77777777" w:rsidR="009754F0" w:rsidRPr="00183DE4" w:rsidRDefault="009754F0" w:rsidP="00183DE4">
      <w:pPr>
        <w:jc w:val="both"/>
        <w:rPr>
          <w:rFonts w:ascii="Arial" w:hAnsi="Arial" w:cs="Arial"/>
          <w:sz w:val="20"/>
          <w:szCs w:val="20"/>
        </w:rPr>
      </w:pPr>
    </w:p>
    <w:p w14:paraId="035B173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e)</w:t>
      </w:r>
      <w:r w:rsidRPr="00183DE4">
        <w:rPr>
          <w:rFonts w:ascii="Arial" w:hAnsi="Arial" w:cs="Arial"/>
          <w:sz w:val="20"/>
          <w:szCs w:val="20"/>
        </w:rPr>
        <w:t xml:space="preserve"> Patrimonio de organismos descentralizados de control presupuestario directo, según corresponda:</w:t>
      </w:r>
    </w:p>
    <w:p w14:paraId="58970AFF" w14:textId="77777777" w:rsidR="009754F0" w:rsidRPr="00183DE4" w:rsidRDefault="009754F0" w:rsidP="00183DE4">
      <w:pPr>
        <w:jc w:val="both"/>
        <w:rPr>
          <w:rFonts w:ascii="Arial" w:hAnsi="Arial" w:cs="Arial"/>
          <w:sz w:val="20"/>
          <w:szCs w:val="20"/>
        </w:rPr>
      </w:pPr>
    </w:p>
    <w:p w14:paraId="358DCD4D"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C09D5B2" w14:textId="77777777" w:rsidR="009754F0" w:rsidRPr="00183DE4" w:rsidRDefault="009754F0" w:rsidP="00183DE4">
      <w:pPr>
        <w:jc w:val="both"/>
        <w:rPr>
          <w:rFonts w:ascii="Arial" w:hAnsi="Arial" w:cs="Arial"/>
          <w:sz w:val="20"/>
          <w:szCs w:val="20"/>
        </w:rPr>
      </w:pPr>
    </w:p>
    <w:p w14:paraId="4057D5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9. Fideicomisos, Mandatos y Análogos:</w:t>
      </w:r>
    </w:p>
    <w:p w14:paraId="04A7309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A la fecha no se cuenta con Fideicomiso vigente legalmente.</w:t>
      </w:r>
    </w:p>
    <w:p w14:paraId="1CFF4867" w14:textId="77777777" w:rsidR="009754F0" w:rsidRPr="00183DE4" w:rsidRDefault="009754F0" w:rsidP="00183DE4">
      <w:pPr>
        <w:jc w:val="both"/>
        <w:rPr>
          <w:rFonts w:ascii="Arial" w:hAnsi="Arial" w:cs="Arial"/>
          <w:sz w:val="20"/>
          <w:szCs w:val="20"/>
        </w:rPr>
      </w:pPr>
    </w:p>
    <w:p w14:paraId="0889587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deberá informar:</w:t>
      </w:r>
    </w:p>
    <w:p w14:paraId="18134D75" w14:textId="77777777" w:rsidR="009754F0" w:rsidRPr="00183DE4" w:rsidRDefault="009754F0" w:rsidP="00183DE4">
      <w:pPr>
        <w:jc w:val="both"/>
        <w:rPr>
          <w:rFonts w:ascii="Arial" w:hAnsi="Arial" w:cs="Arial"/>
          <w:sz w:val="20"/>
          <w:szCs w:val="20"/>
        </w:rPr>
      </w:pPr>
    </w:p>
    <w:p w14:paraId="378F49E3" w14:textId="77777777" w:rsidR="009754F0" w:rsidRPr="00183DE4" w:rsidRDefault="009754F0" w:rsidP="00183DE4">
      <w:pPr>
        <w:jc w:val="both"/>
        <w:rPr>
          <w:rFonts w:ascii="Arial" w:hAnsi="Arial" w:cs="Arial"/>
          <w:b/>
          <w:sz w:val="20"/>
          <w:szCs w:val="20"/>
        </w:rPr>
      </w:pPr>
    </w:p>
    <w:p w14:paraId="0F124EC7" w14:textId="77777777" w:rsidR="009754F0" w:rsidRPr="00183DE4" w:rsidRDefault="009754F0" w:rsidP="00183DE4">
      <w:pPr>
        <w:jc w:val="both"/>
        <w:rPr>
          <w:rFonts w:ascii="Arial" w:hAnsi="Arial" w:cs="Arial"/>
          <w:b/>
          <w:sz w:val="20"/>
          <w:szCs w:val="20"/>
        </w:rPr>
      </w:pPr>
    </w:p>
    <w:p w14:paraId="4C64DC71" w14:textId="77777777" w:rsidR="009754F0" w:rsidRPr="00183DE4" w:rsidRDefault="009754F0" w:rsidP="00183DE4">
      <w:pPr>
        <w:jc w:val="both"/>
        <w:rPr>
          <w:rFonts w:ascii="Arial" w:hAnsi="Arial" w:cs="Arial"/>
          <w:sz w:val="20"/>
          <w:szCs w:val="20"/>
        </w:rPr>
      </w:pPr>
    </w:p>
    <w:p w14:paraId="5469C5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Enlistar los de mayor monto de disponibilidad, relacionando aquéllos que conforman el 80% de las disponibilidades:</w:t>
      </w:r>
    </w:p>
    <w:p w14:paraId="78BA4490" w14:textId="77777777" w:rsidR="009754F0" w:rsidRPr="00183DE4" w:rsidRDefault="009754F0" w:rsidP="00183DE4">
      <w:pPr>
        <w:jc w:val="both"/>
        <w:rPr>
          <w:rFonts w:ascii="Arial" w:hAnsi="Arial" w:cs="Arial"/>
          <w:sz w:val="20"/>
          <w:szCs w:val="20"/>
        </w:rPr>
      </w:pPr>
    </w:p>
    <w:p w14:paraId="1CE5404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1DF8FEE" w14:textId="77777777" w:rsidR="009754F0" w:rsidRPr="00183DE4" w:rsidRDefault="009754F0" w:rsidP="00183DE4">
      <w:pPr>
        <w:jc w:val="both"/>
        <w:rPr>
          <w:rFonts w:ascii="Arial" w:hAnsi="Arial" w:cs="Arial"/>
          <w:sz w:val="20"/>
          <w:szCs w:val="20"/>
        </w:rPr>
      </w:pPr>
    </w:p>
    <w:p w14:paraId="18A1506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10. Reporte de la Recaudación:</w:t>
      </w:r>
    </w:p>
    <w:p w14:paraId="7F96B9C3" w14:textId="77777777" w:rsidR="009754F0" w:rsidRPr="00183DE4" w:rsidRDefault="009754F0" w:rsidP="00183DE4">
      <w:pPr>
        <w:jc w:val="both"/>
        <w:rPr>
          <w:rFonts w:ascii="Arial" w:hAnsi="Arial" w:cs="Arial"/>
          <w:sz w:val="20"/>
          <w:szCs w:val="20"/>
        </w:rPr>
      </w:pPr>
    </w:p>
    <w:p w14:paraId="5461641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37491F05" w14:textId="77777777" w:rsidR="009754F0" w:rsidRPr="00183DE4" w:rsidRDefault="009754F0" w:rsidP="00183DE4">
      <w:pPr>
        <w:jc w:val="both"/>
        <w:rPr>
          <w:rFonts w:ascii="Arial" w:hAnsi="Arial" w:cs="Arial"/>
          <w:sz w:val="20"/>
          <w:szCs w:val="20"/>
        </w:rPr>
      </w:pPr>
    </w:p>
    <w:p w14:paraId="0B37CECC"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ingresos de la Universidad Tecnológica de Salamanca son (inscripciones, fichas, colegiaturas, constancias, certificados, boletas, historial académico, examen extraordinario) (productos, aprovechamientos e ingresos por ventas).</w:t>
      </w:r>
    </w:p>
    <w:p w14:paraId="770522A0" w14:textId="77777777" w:rsidR="009754F0" w:rsidRPr="00183DE4" w:rsidRDefault="009754F0" w:rsidP="00183DE4">
      <w:pPr>
        <w:jc w:val="both"/>
        <w:rPr>
          <w:rFonts w:ascii="Arial" w:hAnsi="Arial" w:cs="Arial"/>
          <w:b/>
          <w:sz w:val="20"/>
          <w:szCs w:val="20"/>
        </w:rPr>
      </w:pPr>
    </w:p>
    <w:p w14:paraId="1B0E4F03"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Proyección de la recaudación e ingresos en el mediano plazo:</w:t>
      </w:r>
    </w:p>
    <w:p w14:paraId="0EF9D55F" w14:textId="77777777" w:rsidR="009754F0" w:rsidRPr="00183DE4" w:rsidRDefault="009754F0" w:rsidP="00183DE4">
      <w:pPr>
        <w:jc w:val="both"/>
        <w:rPr>
          <w:rFonts w:ascii="Arial" w:hAnsi="Arial" w:cs="Arial"/>
          <w:sz w:val="20"/>
          <w:szCs w:val="20"/>
        </w:rPr>
      </w:pPr>
    </w:p>
    <w:p w14:paraId="217B6898"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11. Información sobre la Deuda y el Reporte Analítico de la Deuda:</w:t>
      </w:r>
    </w:p>
    <w:p w14:paraId="166842D9" w14:textId="77777777" w:rsidR="009754F0" w:rsidRPr="00183DE4" w:rsidRDefault="009754F0" w:rsidP="00183DE4">
      <w:pPr>
        <w:jc w:val="both"/>
        <w:rPr>
          <w:rFonts w:ascii="Arial" w:hAnsi="Arial" w:cs="Arial"/>
          <w:sz w:val="20"/>
          <w:szCs w:val="20"/>
        </w:rPr>
      </w:pPr>
    </w:p>
    <w:p w14:paraId="38D9381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lo siguiente:</w:t>
      </w:r>
    </w:p>
    <w:p w14:paraId="0049286B" w14:textId="77777777" w:rsidR="009754F0" w:rsidRPr="00183DE4" w:rsidRDefault="009754F0" w:rsidP="00183DE4">
      <w:pPr>
        <w:jc w:val="both"/>
        <w:rPr>
          <w:rFonts w:ascii="Arial" w:hAnsi="Arial" w:cs="Arial"/>
          <w:sz w:val="20"/>
          <w:szCs w:val="20"/>
        </w:rPr>
      </w:pPr>
    </w:p>
    <w:p w14:paraId="11A0397C"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Utilizar al menos los siguientes indicadores: deuda respecto al PIB y deuda respecto a la recaudación tomando, como mínimo, un período igual o menor a 5 años.</w:t>
      </w:r>
    </w:p>
    <w:p w14:paraId="4ACA0EC2" w14:textId="77777777" w:rsidR="009754F0" w:rsidRPr="00183DE4" w:rsidRDefault="009754F0" w:rsidP="00183DE4">
      <w:pPr>
        <w:jc w:val="both"/>
        <w:rPr>
          <w:rFonts w:ascii="Arial" w:hAnsi="Arial" w:cs="Arial"/>
          <w:sz w:val="20"/>
          <w:szCs w:val="20"/>
        </w:rPr>
      </w:pPr>
    </w:p>
    <w:p w14:paraId="44A4FFF9"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Información de manera agrupada por tipo de valor gubernamental o instrumento financiero en la que se considere intereses, comisiones, tasa, perfil de vencimiento y otros gastos de la deuda.</w:t>
      </w:r>
    </w:p>
    <w:p w14:paraId="6770765B" w14:textId="218BB60C" w:rsidR="009754F0" w:rsidRPr="00183DE4" w:rsidRDefault="009754F0" w:rsidP="00183DE4">
      <w:pPr>
        <w:jc w:val="both"/>
        <w:rPr>
          <w:rFonts w:ascii="Arial" w:hAnsi="Arial" w:cs="Arial"/>
          <w:sz w:val="20"/>
          <w:szCs w:val="20"/>
        </w:rPr>
      </w:pPr>
      <w:r w:rsidRPr="00183DE4">
        <w:rPr>
          <w:rFonts w:ascii="Arial" w:hAnsi="Arial" w:cs="Arial"/>
          <w:sz w:val="20"/>
          <w:szCs w:val="20"/>
        </w:rPr>
        <w:t>* Se anexará la información en las notas de desglose.</w:t>
      </w:r>
    </w:p>
    <w:p w14:paraId="60795F51" w14:textId="77777777" w:rsidR="009754F0" w:rsidRPr="00183DE4" w:rsidRDefault="009754F0" w:rsidP="00183DE4">
      <w:pPr>
        <w:jc w:val="both"/>
        <w:rPr>
          <w:rFonts w:ascii="Arial" w:hAnsi="Arial" w:cs="Arial"/>
          <w:sz w:val="20"/>
          <w:szCs w:val="20"/>
        </w:rPr>
      </w:pPr>
    </w:p>
    <w:p w14:paraId="2B4A9399"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12. Calificaciones otorgadas:</w:t>
      </w:r>
    </w:p>
    <w:p w14:paraId="670D2102" w14:textId="77777777" w:rsidR="009754F0" w:rsidRPr="00183DE4" w:rsidRDefault="009754F0" w:rsidP="00183DE4">
      <w:pPr>
        <w:jc w:val="both"/>
        <w:rPr>
          <w:rFonts w:ascii="Arial" w:hAnsi="Arial" w:cs="Arial"/>
          <w:sz w:val="20"/>
          <w:szCs w:val="20"/>
        </w:rPr>
      </w:pPr>
    </w:p>
    <w:p w14:paraId="7DB82E0D"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Informar, tanto del ente público como cualquier transacción realizada, que haya sido sujeta a una calificación crediticia:</w:t>
      </w:r>
    </w:p>
    <w:p w14:paraId="1DCBB13F" w14:textId="77777777" w:rsidR="009754F0" w:rsidRPr="00183DE4" w:rsidRDefault="009754F0" w:rsidP="00183DE4">
      <w:pPr>
        <w:jc w:val="both"/>
        <w:rPr>
          <w:rFonts w:ascii="Arial" w:hAnsi="Arial" w:cs="Arial"/>
          <w:sz w:val="20"/>
          <w:szCs w:val="20"/>
        </w:rPr>
      </w:pPr>
    </w:p>
    <w:p w14:paraId="2A5B6F9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10D3D190" w14:textId="77777777" w:rsidR="009754F0" w:rsidRPr="00183DE4" w:rsidRDefault="009754F0" w:rsidP="00183DE4">
      <w:pPr>
        <w:jc w:val="both"/>
        <w:rPr>
          <w:rFonts w:ascii="Arial" w:hAnsi="Arial" w:cs="Arial"/>
          <w:sz w:val="20"/>
          <w:szCs w:val="20"/>
        </w:rPr>
      </w:pPr>
    </w:p>
    <w:p w14:paraId="291B4A8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13. Proceso de Mejora:</w:t>
      </w:r>
    </w:p>
    <w:p w14:paraId="1706958E" w14:textId="77777777" w:rsidR="009754F0" w:rsidRPr="00183DE4" w:rsidRDefault="009754F0" w:rsidP="00183DE4">
      <w:pPr>
        <w:jc w:val="both"/>
        <w:rPr>
          <w:rFonts w:ascii="Arial" w:hAnsi="Arial" w:cs="Arial"/>
          <w:sz w:val="20"/>
          <w:szCs w:val="20"/>
        </w:rPr>
      </w:pPr>
    </w:p>
    <w:p w14:paraId="72A415C4"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informará de:</w:t>
      </w:r>
    </w:p>
    <w:p w14:paraId="1BE3EE5A" w14:textId="77777777" w:rsidR="009754F0" w:rsidRPr="00183DE4" w:rsidRDefault="009754F0" w:rsidP="00183DE4">
      <w:pPr>
        <w:jc w:val="both"/>
        <w:rPr>
          <w:rFonts w:ascii="Arial" w:hAnsi="Arial" w:cs="Arial"/>
          <w:sz w:val="20"/>
          <w:szCs w:val="20"/>
        </w:rPr>
      </w:pPr>
    </w:p>
    <w:p w14:paraId="123BA6C6"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a)</w:t>
      </w:r>
      <w:r w:rsidRPr="00183DE4">
        <w:rPr>
          <w:rFonts w:ascii="Arial" w:hAnsi="Arial" w:cs="Arial"/>
          <w:sz w:val="20"/>
          <w:szCs w:val="20"/>
        </w:rPr>
        <w:t xml:space="preserve"> Principales Políticas de control interno:</w:t>
      </w:r>
    </w:p>
    <w:p w14:paraId="1579B6A0" w14:textId="77777777" w:rsidR="009754F0" w:rsidRPr="00183DE4" w:rsidRDefault="009754F0" w:rsidP="00183DE4">
      <w:pPr>
        <w:jc w:val="both"/>
        <w:rPr>
          <w:rFonts w:ascii="Arial" w:hAnsi="Arial" w:cs="Arial"/>
          <w:b/>
          <w:sz w:val="20"/>
          <w:szCs w:val="20"/>
        </w:rPr>
      </w:pPr>
    </w:p>
    <w:p w14:paraId="795FD08B" w14:textId="77777777" w:rsidR="009754F0" w:rsidRPr="00183DE4" w:rsidRDefault="009754F0" w:rsidP="00183DE4">
      <w:pPr>
        <w:jc w:val="both"/>
        <w:rPr>
          <w:rFonts w:ascii="Arial" w:hAnsi="Arial" w:cs="Arial"/>
          <w:b/>
          <w:sz w:val="20"/>
          <w:szCs w:val="20"/>
        </w:rPr>
      </w:pPr>
    </w:p>
    <w:p w14:paraId="6BD05C1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Las principales políticas de control interno que se implementan en específico en la Universidad Tecnológica de Salamanca, son de acuerdo a Disposiciones Administrativas, a los Lineamientos Generales de Racionalidad, Austeridad y Disciplina Presupuestaria vigentes, las contempladas dentro de los Manuales de Organización de cada una de las áreas de la Universidad, el Sistema de Gestión de Calidad implementado y atención a las observaciones por el Órgano Interno de Control de la UTS.</w:t>
      </w:r>
    </w:p>
    <w:p w14:paraId="33696793" w14:textId="77777777" w:rsidR="009754F0" w:rsidRPr="00183DE4" w:rsidRDefault="009754F0" w:rsidP="00183DE4">
      <w:pPr>
        <w:jc w:val="both"/>
        <w:rPr>
          <w:rFonts w:ascii="Arial" w:hAnsi="Arial" w:cs="Arial"/>
          <w:sz w:val="20"/>
          <w:szCs w:val="20"/>
        </w:rPr>
      </w:pPr>
    </w:p>
    <w:p w14:paraId="6DB73310" w14:textId="77777777" w:rsidR="009754F0" w:rsidRPr="00183DE4" w:rsidRDefault="009754F0" w:rsidP="00183DE4">
      <w:pPr>
        <w:jc w:val="both"/>
        <w:rPr>
          <w:rFonts w:ascii="Arial" w:hAnsi="Arial" w:cs="Arial"/>
          <w:sz w:val="20"/>
          <w:szCs w:val="20"/>
        </w:rPr>
      </w:pPr>
      <w:r w:rsidRPr="00183DE4">
        <w:rPr>
          <w:rFonts w:ascii="Arial" w:hAnsi="Arial" w:cs="Arial"/>
          <w:b/>
          <w:sz w:val="20"/>
          <w:szCs w:val="20"/>
        </w:rPr>
        <w:t>b)</w:t>
      </w:r>
      <w:r w:rsidRPr="00183DE4">
        <w:rPr>
          <w:rFonts w:ascii="Arial" w:hAnsi="Arial" w:cs="Arial"/>
          <w:sz w:val="20"/>
          <w:szCs w:val="20"/>
        </w:rPr>
        <w:t xml:space="preserve"> Medidas de desempeño financiero, metas y alcance:</w:t>
      </w:r>
    </w:p>
    <w:p w14:paraId="282EE3A7" w14:textId="77777777" w:rsidR="009754F0" w:rsidRPr="00183DE4" w:rsidRDefault="009754F0" w:rsidP="00183DE4">
      <w:pPr>
        <w:jc w:val="both"/>
        <w:rPr>
          <w:rFonts w:ascii="Arial" w:hAnsi="Arial" w:cs="Arial"/>
          <w:sz w:val="20"/>
          <w:szCs w:val="20"/>
        </w:rPr>
      </w:pPr>
    </w:p>
    <w:p w14:paraId="29E03471"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 xml:space="preserve">La Universidad Tecnológica de Salamanca, en Marzo de 2021, obtuvo su certificación por implementar y mantener un Sistema de Gestión Calidad (SGC) de conformidad con la norma ISO 9001:2015, en su proceso educativo, por parte del NYCE Sociedad Internacional de Gestión y Evaluación, A.C.. Con la finalidad de asegurar la calidad en el servicio ofertado implementa las siguientes políticas de seguimiento y evaluación: </w:t>
      </w:r>
    </w:p>
    <w:p w14:paraId="1948A46D" w14:textId="77777777" w:rsidR="009754F0" w:rsidRPr="00183DE4" w:rsidRDefault="009754F0" w:rsidP="00183DE4">
      <w:pPr>
        <w:jc w:val="both"/>
        <w:rPr>
          <w:rFonts w:ascii="Arial" w:hAnsi="Arial" w:cs="Arial"/>
          <w:b/>
          <w:sz w:val="20"/>
          <w:szCs w:val="20"/>
        </w:rPr>
      </w:pPr>
    </w:p>
    <w:p w14:paraId="12D8A71E" w14:textId="77777777" w:rsidR="009754F0" w:rsidRPr="00183DE4" w:rsidRDefault="009754F0" w:rsidP="00183DE4">
      <w:pPr>
        <w:pStyle w:val="Prrafodelista"/>
        <w:numPr>
          <w:ilvl w:val="0"/>
          <w:numId w:val="10"/>
        </w:numPr>
        <w:tabs>
          <w:tab w:val="left" w:pos="2768"/>
        </w:tabs>
        <w:spacing w:after="160"/>
        <w:jc w:val="both"/>
        <w:rPr>
          <w:rFonts w:ascii="Arial" w:hAnsi="Arial" w:cs="Arial"/>
          <w:b/>
          <w:sz w:val="20"/>
          <w:szCs w:val="20"/>
        </w:rPr>
      </w:pPr>
      <w:r w:rsidRPr="00183DE4">
        <w:rPr>
          <w:rFonts w:ascii="Arial" w:hAnsi="Arial" w:cs="Arial"/>
          <w:b/>
          <w:sz w:val="20"/>
          <w:szCs w:val="20"/>
        </w:rPr>
        <w:t xml:space="preserve">Revisión por la Rectoría. Se lleva a cabo de manera cuatrimestral, con el objetivo de analizar y determinar la conveniencia y eficacia del SGC. En dicha revisión se plasman los compromisos, oportunidades y cambios para mejorar el desarrollo y seguimiento del SGC. </w:t>
      </w:r>
    </w:p>
    <w:p w14:paraId="1C8FE23F" w14:textId="77777777" w:rsidR="009754F0" w:rsidRPr="00183DE4" w:rsidRDefault="009754F0" w:rsidP="00183DE4">
      <w:pPr>
        <w:pStyle w:val="Prrafodelista"/>
        <w:tabs>
          <w:tab w:val="left" w:pos="2768"/>
        </w:tabs>
        <w:jc w:val="both"/>
        <w:rPr>
          <w:rFonts w:ascii="Arial" w:hAnsi="Arial" w:cs="Arial"/>
          <w:b/>
          <w:sz w:val="20"/>
          <w:szCs w:val="20"/>
        </w:rPr>
      </w:pPr>
    </w:p>
    <w:p w14:paraId="56E75524"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Auditorías Internas. Se realizan dos auditorías al año, preferentemente antes de la revisión por la Rectoría, por parte del Equipo de Auditores Internos de UTS. El objetivo es determinar si el </w:t>
      </w:r>
      <w:r w:rsidRPr="00183DE4">
        <w:rPr>
          <w:rFonts w:ascii="Arial" w:hAnsi="Arial" w:cs="Arial"/>
          <w:b/>
          <w:bCs/>
          <w:sz w:val="20"/>
          <w:szCs w:val="20"/>
        </w:rPr>
        <w:t>SGC</w:t>
      </w:r>
      <w:r w:rsidRPr="00183DE4">
        <w:rPr>
          <w:rFonts w:ascii="Arial" w:hAnsi="Arial" w:cs="Arial"/>
          <w:b/>
          <w:sz w:val="20"/>
          <w:szCs w:val="20"/>
        </w:rPr>
        <w:t xml:space="preserve"> es conforme con los requisitos tanto de la norma ISO 9001:2015, así como aquellos que fueron determinados por la universidad.</w:t>
      </w:r>
    </w:p>
    <w:p w14:paraId="03BA2025" w14:textId="77777777" w:rsidR="009754F0" w:rsidRPr="00183DE4" w:rsidRDefault="009754F0" w:rsidP="00183DE4">
      <w:pPr>
        <w:pStyle w:val="Prrafodelista"/>
        <w:rPr>
          <w:rFonts w:ascii="Arial" w:hAnsi="Arial" w:cs="Arial"/>
          <w:b/>
          <w:sz w:val="20"/>
          <w:szCs w:val="20"/>
        </w:rPr>
      </w:pPr>
    </w:p>
    <w:p w14:paraId="166FEBA8"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Auditorías de vigilancia. Se lleva a cabo de manera anual, por parte del NYCE. Dichas auditorias son un requisito obligatorio para mantener la certificación del SGC en ISO 9001:2015 y asegurar que la Universidad cumple con las condiciones y requisitos de dicha certificación. Además, se evalúa la mejora del SGC.</w:t>
      </w:r>
    </w:p>
    <w:p w14:paraId="5EB0590E" w14:textId="77777777" w:rsidR="009754F0" w:rsidRPr="00183DE4" w:rsidRDefault="009754F0" w:rsidP="00183DE4">
      <w:pPr>
        <w:pStyle w:val="Prrafodelista"/>
        <w:rPr>
          <w:rFonts w:ascii="Arial" w:hAnsi="Arial" w:cs="Arial"/>
          <w:b/>
          <w:sz w:val="20"/>
          <w:szCs w:val="20"/>
        </w:rPr>
      </w:pPr>
    </w:p>
    <w:p w14:paraId="2E5563CD"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Auditoría de recertificación. Se realiza de manera trianual con un mes de anticipación antes de la expiración del certificado ISO 9001:2015, por parte del IMNC. Con el objetivo de ratificar la conformidad, implementación y desarrollo del SGC en referencia a la Norma ISO 9001:2015. </w:t>
      </w:r>
    </w:p>
    <w:p w14:paraId="1CE270AA" w14:textId="77777777" w:rsidR="009754F0" w:rsidRPr="00183DE4" w:rsidRDefault="009754F0" w:rsidP="00183DE4">
      <w:pPr>
        <w:pStyle w:val="Prrafodelista"/>
        <w:rPr>
          <w:rFonts w:ascii="Arial" w:hAnsi="Arial" w:cs="Arial"/>
          <w:b/>
          <w:sz w:val="20"/>
          <w:szCs w:val="20"/>
        </w:rPr>
      </w:pPr>
    </w:p>
    <w:p w14:paraId="3608DE49" w14:textId="77777777" w:rsidR="009754F0" w:rsidRPr="00183DE4" w:rsidRDefault="009754F0" w:rsidP="00183DE4">
      <w:pPr>
        <w:pStyle w:val="Prrafodelista"/>
        <w:numPr>
          <w:ilvl w:val="0"/>
          <w:numId w:val="10"/>
        </w:numPr>
        <w:spacing w:after="160" w:line="259" w:lineRule="auto"/>
        <w:jc w:val="both"/>
        <w:rPr>
          <w:rFonts w:ascii="Arial" w:hAnsi="Arial" w:cs="Arial"/>
          <w:b/>
          <w:sz w:val="20"/>
          <w:szCs w:val="20"/>
        </w:rPr>
      </w:pPr>
      <w:r w:rsidRPr="00183DE4">
        <w:rPr>
          <w:rFonts w:ascii="Arial" w:hAnsi="Arial" w:cs="Arial"/>
          <w:b/>
          <w:sz w:val="20"/>
          <w:szCs w:val="20"/>
        </w:rPr>
        <w:t xml:space="preserve">Actualización y formación de auditores. Anualmente se lleva a cabo un curso o taller de capacitación para los auditores internos, con la finalidad de asegurar su competencia para auditar. El equipo de auditores internos está integrado por personal administrativos y docente de la UTS. </w:t>
      </w:r>
    </w:p>
    <w:p w14:paraId="0D4456A9" w14:textId="77777777" w:rsidR="009754F0" w:rsidRPr="00183DE4" w:rsidRDefault="009754F0" w:rsidP="00183DE4">
      <w:pPr>
        <w:jc w:val="both"/>
        <w:rPr>
          <w:rFonts w:ascii="Arial" w:hAnsi="Arial" w:cs="Arial"/>
          <w:b/>
          <w:sz w:val="20"/>
          <w:szCs w:val="20"/>
        </w:rPr>
      </w:pPr>
    </w:p>
    <w:p w14:paraId="11BD5775"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Con la finalidad de contribuir al logro de los objetivos de los proyectos estratégicos del Eje Guanajuato Educado, establecidos en el Plan de Gobierno 2018 – 2024 y fortalecer la consolidación de la Universidad Tecnológica de Salamanca (UTS), se establecen objetivos, metas y estrategias en el Programa Operativo Anual Estatal (POA). Para el seguimiento de avance de estas metas se realiza un informe cuatrimestral. </w:t>
      </w:r>
    </w:p>
    <w:p w14:paraId="27D0D09D" w14:textId="77777777" w:rsidR="009754F0" w:rsidRPr="00183DE4" w:rsidRDefault="009754F0" w:rsidP="00183DE4">
      <w:pPr>
        <w:spacing w:after="120"/>
        <w:jc w:val="both"/>
        <w:rPr>
          <w:rFonts w:ascii="Arial" w:hAnsi="Arial" w:cs="Arial"/>
          <w:b/>
          <w:sz w:val="20"/>
          <w:szCs w:val="20"/>
        </w:rPr>
      </w:pPr>
      <w:r w:rsidRPr="00183DE4">
        <w:rPr>
          <w:rFonts w:ascii="Arial" w:hAnsi="Arial" w:cs="Arial"/>
          <w:b/>
          <w:sz w:val="20"/>
          <w:szCs w:val="20"/>
        </w:rPr>
        <w:t xml:space="preserve">Lo anterior, para cumplir con el objetivo de UTS: Formar profesionistas de nivel Técnico Superior Universitario y Licenciatura, mediante programas educativos de calidad y pertinentes con el desarrollo de competencias académicas, valores y actitudes. </w:t>
      </w:r>
    </w:p>
    <w:p w14:paraId="10DFD7D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También, el Presupuesto autorizado por el Consejo Directivo y Aprobado por la Cámara de Diputados en la Ley de Egresos para el estado de Guanajuato, nos sirve para establecer metas e indicadores que se tienen en la Universidad para su medición a través de los presupuestos programáticos que para tal efecto maneja cada una de las áreas de la Universidad.</w:t>
      </w:r>
    </w:p>
    <w:p w14:paraId="76687E3D" w14:textId="77777777" w:rsidR="009754F0" w:rsidRPr="00183DE4" w:rsidRDefault="009754F0" w:rsidP="00183DE4">
      <w:pPr>
        <w:jc w:val="both"/>
        <w:rPr>
          <w:rFonts w:ascii="Arial" w:hAnsi="Arial" w:cs="Arial"/>
          <w:sz w:val="20"/>
          <w:szCs w:val="20"/>
        </w:rPr>
      </w:pPr>
    </w:p>
    <w:p w14:paraId="21BFE545"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14. Eventos Posteriores al Cierre:</w:t>
      </w:r>
    </w:p>
    <w:p w14:paraId="59CB4C53" w14:textId="77777777" w:rsidR="009754F0" w:rsidRPr="00183DE4" w:rsidRDefault="009754F0" w:rsidP="00183DE4">
      <w:pPr>
        <w:jc w:val="both"/>
        <w:rPr>
          <w:rFonts w:ascii="Arial" w:hAnsi="Arial" w:cs="Arial"/>
          <w:sz w:val="20"/>
          <w:szCs w:val="20"/>
        </w:rPr>
      </w:pPr>
    </w:p>
    <w:p w14:paraId="673BF832"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183DE4">
        <w:rPr>
          <w:rFonts w:ascii="Arial" w:hAnsi="Arial" w:cs="Arial"/>
          <w:sz w:val="20"/>
          <w:szCs w:val="20"/>
        </w:rPr>
        <w:cr/>
      </w:r>
    </w:p>
    <w:p w14:paraId="02AD938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lastRenderedPageBreak/>
        <w:t>De acuerdo con el plan para depurar cuentas contables anteriores, de los años 2014-2017; se están realizando ajustes en el mes de octubre de 2022.</w:t>
      </w:r>
    </w:p>
    <w:p w14:paraId="58012ABC" w14:textId="77777777" w:rsidR="009754F0" w:rsidRPr="00183DE4" w:rsidRDefault="009754F0" w:rsidP="00183DE4">
      <w:pPr>
        <w:jc w:val="both"/>
        <w:rPr>
          <w:rFonts w:ascii="Arial" w:hAnsi="Arial" w:cs="Arial"/>
          <w:b/>
          <w:sz w:val="20"/>
          <w:szCs w:val="20"/>
        </w:rPr>
      </w:pPr>
    </w:p>
    <w:p w14:paraId="3FD14AD6"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15. Partes Relacionadas:</w:t>
      </w:r>
    </w:p>
    <w:p w14:paraId="5B30CABC" w14:textId="77777777" w:rsidR="009754F0" w:rsidRPr="00183DE4" w:rsidRDefault="009754F0" w:rsidP="00183DE4">
      <w:pPr>
        <w:jc w:val="both"/>
        <w:rPr>
          <w:rFonts w:ascii="Arial" w:hAnsi="Arial" w:cs="Arial"/>
          <w:sz w:val="20"/>
          <w:szCs w:val="20"/>
        </w:rPr>
      </w:pPr>
    </w:p>
    <w:p w14:paraId="79DE63B6"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Se debe establecer por escrito que no existen partes relacionadas que pudieran ejercer influencia significativa sobre la toma de decisiones financieras y operativas:</w:t>
      </w:r>
    </w:p>
    <w:p w14:paraId="63A44004" w14:textId="77777777" w:rsidR="009754F0" w:rsidRPr="00183DE4" w:rsidRDefault="009754F0" w:rsidP="00183DE4">
      <w:pPr>
        <w:jc w:val="both"/>
        <w:rPr>
          <w:rFonts w:ascii="Arial" w:hAnsi="Arial" w:cs="Arial"/>
          <w:sz w:val="20"/>
          <w:szCs w:val="20"/>
        </w:rPr>
      </w:pPr>
    </w:p>
    <w:p w14:paraId="2F38BFE2"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No aplica</w:t>
      </w:r>
    </w:p>
    <w:p w14:paraId="2F260031" w14:textId="77777777" w:rsidR="009754F0" w:rsidRPr="00183DE4" w:rsidRDefault="009754F0" w:rsidP="00183DE4">
      <w:pPr>
        <w:jc w:val="both"/>
        <w:rPr>
          <w:rFonts w:ascii="Arial" w:hAnsi="Arial" w:cs="Arial"/>
          <w:sz w:val="20"/>
          <w:szCs w:val="20"/>
        </w:rPr>
      </w:pPr>
    </w:p>
    <w:p w14:paraId="5FE22F64"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16. Responsabilidad sobre la presentación razonable de los Estados Financieros:</w:t>
      </w:r>
    </w:p>
    <w:p w14:paraId="0340F622" w14:textId="77777777" w:rsidR="009754F0" w:rsidRPr="00183DE4" w:rsidRDefault="009754F0" w:rsidP="00183DE4">
      <w:pPr>
        <w:jc w:val="both"/>
        <w:rPr>
          <w:rFonts w:ascii="Arial" w:hAnsi="Arial" w:cs="Arial"/>
          <w:sz w:val="20"/>
          <w:szCs w:val="20"/>
        </w:rPr>
      </w:pPr>
    </w:p>
    <w:p w14:paraId="6E2F31EB" w14:textId="77777777" w:rsidR="009754F0" w:rsidRPr="00183DE4" w:rsidRDefault="009754F0" w:rsidP="00183DE4">
      <w:pPr>
        <w:jc w:val="both"/>
        <w:rPr>
          <w:rFonts w:ascii="Arial" w:hAnsi="Arial" w:cs="Arial"/>
          <w:sz w:val="20"/>
          <w:szCs w:val="20"/>
        </w:rPr>
      </w:pPr>
      <w:r w:rsidRPr="00183DE4">
        <w:rPr>
          <w:rFonts w:ascii="Arial" w:hAnsi="Arial" w:cs="Arial"/>
          <w:sz w:val="20"/>
          <w:szCs w:val="20"/>
        </w:rPr>
        <w:t>Los Estados Financieros deberán estar rubricados en cada página de los mismos e incluir al final la siguiente leyenda: “Bajo protesta de decir verdad declaramos que los Estados Financieros y sus notas, son razonablemente correctos y son responsabilidad del emisor.</w:t>
      </w:r>
    </w:p>
    <w:p w14:paraId="239AEDBA" w14:textId="77777777" w:rsidR="009754F0" w:rsidRPr="00183DE4" w:rsidRDefault="009754F0" w:rsidP="00183DE4">
      <w:pPr>
        <w:jc w:val="both"/>
        <w:rPr>
          <w:rFonts w:ascii="Arial" w:hAnsi="Arial" w:cs="Arial"/>
          <w:sz w:val="20"/>
          <w:szCs w:val="20"/>
        </w:rPr>
      </w:pPr>
    </w:p>
    <w:p w14:paraId="099EAB9A" w14:textId="77777777" w:rsidR="009754F0" w:rsidRPr="00183DE4" w:rsidRDefault="009754F0" w:rsidP="00183DE4">
      <w:pPr>
        <w:jc w:val="both"/>
        <w:rPr>
          <w:rFonts w:ascii="Arial" w:hAnsi="Arial" w:cs="Arial"/>
          <w:b/>
          <w:sz w:val="20"/>
          <w:szCs w:val="20"/>
        </w:rPr>
      </w:pPr>
      <w:r w:rsidRPr="00183DE4">
        <w:rPr>
          <w:rFonts w:ascii="Arial" w:hAnsi="Arial" w:cs="Arial"/>
          <w:b/>
          <w:sz w:val="20"/>
          <w:szCs w:val="20"/>
        </w:rPr>
        <w:t>Los Estados Financieros son Rubricados por el Rector de la Universidad Tecnológica de Salamanca y por el Director de Administración y Finanzas; de acuerdo a la normatividad vigente.</w:t>
      </w:r>
    </w:p>
    <w:p w14:paraId="2AA8FA0C" w14:textId="77777777" w:rsidR="006371E0" w:rsidRPr="00183DE4" w:rsidRDefault="006371E0" w:rsidP="0000070B">
      <w:pPr>
        <w:pStyle w:val="Texto"/>
        <w:spacing w:after="0" w:line="240" w:lineRule="exact"/>
        <w:ind w:firstLine="0"/>
        <w:rPr>
          <w:sz w:val="20"/>
        </w:rPr>
      </w:pPr>
    </w:p>
    <w:p w14:paraId="3ED4E249" w14:textId="77777777" w:rsidR="00F07FAF" w:rsidRPr="00B4168C" w:rsidRDefault="00F07FAF" w:rsidP="00B4168C">
      <w:pPr>
        <w:jc w:val="center"/>
        <w:rPr>
          <w:rFonts w:ascii="Arial" w:hAnsi="Arial" w:cs="Arial"/>
          <w:b/>
          <w:sz w:val="20"/>
          <w:szCs w:val="20"/>
        </w:rPr>
      </w:pPr>
    </w:p>
    <w:p w14:paraId="07F9E8DC" w14:textId="77777777" w:rsidR="00F07FAF" w:rsidRPr="00B4168C" w:rsidRDefault="00F07FAF" w:rsidP="00B4168C">
      <w:pPr>
        <w:jc w:val="center"/>
        <w:rPr>
          <w:rFonts w:ascii="Arial" w:hAnsi="Arial" w:cs="Arial"/>
          <w:b/>
          <w:sz w:val="20"/>
          <w:szCs w:val="20"/>
        </w:rPr>
      </w:pPr>
    </w:p>
    <w:p w14:paraId="1966E756" w14:textId="77777777" w:rsidR="00F07FAF" w:rsidRPr="00B4168C" w:rsidRDefault="00F07FAF" w:rsidP="00B4168C">
      <w:pPr>
        <w:jc w:val="center"/>
        <w:rPr>
          <w:rFonts w:ascii="Arial" w:hAnsi="Arial" w:cs="Arial"/>
          <w:b/>
          <w:sz w:val="20"/>
          <w:szCs w:val="20"/>
        </w:rPr>
      </w:pPr>
    </w:p>
    <w:p w14:paraId="1BC5968D" w14:textId="533C111A" w:rsidR="00F07FAF" w:rsidRPr="00B4168C" w:rsidRDefault="00F07FAF" w:rsidP="00B4168C">
      <w:pPr>
        <w:jc w:val="center"/>
        <w:rPr>
          <w:rFonts w:ascii="Arial" w:hAnsi="Arial" w:cs="Arial"/>
          <w:b/>
          <w:sz w:val="20"/>
          <w:szCs w:val="20"/>
        </w:rPr>
      </w:pPr>
    </w:p>
    <w:p w14:paraId="062D5D91" w14:textId="45D8CC9B" w:rsidR="00F07FAF" w:rsidRPr="00B4168C" w:rsidRDefault="00F07FAF" w:rsidP="00DE7785">
      <w:pPr>
        <w:jc w:val="center"/>
        <w:rPr>
          <w:rFonts w:ascii="Arial" w:hAnsi="Arial" w:cs="Arial"/>
          <w:sz w:val="20"/>
          <w:szCs w:val="20"/>
        </w:rPr>
      </w:pPr>
    </w:p>
    <w:p w14:paraId="156B3BF3" w14:textId="77777777" w:rsidR="00F07FAF" w:rsidRPr="00B4168C" w:rsidRDefault="00F07FAF" w:rsidP="00B4168C">
      <w:pPr>
        <w:jc w:val="center"/>
        <w:rPr>
          <w:rFonts w:ascii="Arial" w:hAnsi="Arial" w:cs="Arial"/>
          <w:sz w:val="20"/>
          <w:szCs w:val="20"/>
        </w:rPr>
      </w:pPr>
    </w:p>
    <w:sectPr w:rsidR="00F07FAF" w:rsidRPr="00B4168C" w:rsidSect="002F69AA">
      <w:headerReference w:type="even" r:id="rId10"/>
      <w:headerReference w:type="default" r:id="rId11"/>
      <w:footerReference w:type="even" r:id="rId12"/>
      <w:footerReference w:type="default" r:id="rId13"/>
      <w:pgSz w:w="15840" w:h="12240" w:orient="landscape"/>
      <w:pgMar w:top="1531" w:right="1077" w:bottom="1077"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4E855C" w14:textId="77777777" w:rsidR="002E41BF" w:rsidRDefault="002E41BF" w:rsidP="00EA5418">
      <w:r>
        <w:separator/>
      </w:r>
    </w:p>
  </w:endnote>
  <w:endnote w:type="continuationSeparator" w:id="0">
    <w:p w14:paraId="3FCE2E0D" w14:textId="77777777" w:rsidR="002E41BF" w:rsidRDefault="002E41BF" w:rsidP="00EA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984FF" w14:textId="570EA08F" w:rsidR="00C2252C" w:rsidRPr="001E3B9D" w:rsidRDefault="002177CB" w:rsidP="0013011C">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7216" behindDoc="0" locked="0" layoutInCell="1" allowOverlap="1" wp14:anchorId="7EFB26AF" wp14:editId="40F6C414">
              <wp:simplePos x="0" y="0"/>
              <wp:positionH relativeFrom="column">
                <wp:posOffset>-676275</wp:posOffset>
              </wp:positionH>
              <wp:positionV relativeFrom="paragraph">
                <wp:posOffset>-32385</wp:posOffset>
              </wp:positionV>
              <wp:extent cx="10029825" cy="0"/>
              <wp:effectExtent l="9525" t="15240" r="9525" b="13335"/>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7C65F9B7" id="Line 29"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49A68" w14:textId="1DD0F924" w:rsidR="00C2252C" w:rsidRPr="00584484" w:rsidRDefault="002177CB" w:rsidP="008E3652">
    <w:pPr>
      <w:pStyle w:val="Piedepgina"/>
      <w:jc w:val="center"/>
      <w:rPr>
        <w:rFonts w:ascii="Arial" w:hAnsi="Arial" w:cs="Arial"/>
        <w:color w:val="808080" w:themeColor="background1" w:themeShade="80"/>
        <w:sz w:val="20"/>
        <w:szCs w:val="20"/>
      </w:rPr>
    </w:pPr>
    <w:r>
      <w:rPr>
        <w:rFonts w:ascii="Arial" w:hAnsi="Arial" w:cs="Arial"/>
        <w:noProof/>
        <w:color w:val="808080" w:themeColor="background1" w:themeShade="80"/>
        <w:sz w:val="20"/>
        <w:szCs w:val="20"/>
        <w:lang w:val="es-MX" w:eastAsia="es-MX"/>
      </w:rPr>
      <mc:AlternateContent>
        <mc:Choice Requires="wps">
          <w:drawing>
            <wp:anchor distT="0" distB="0" distL="114300" distR="114300" simplePos="0" relativeHeight="251656192" behindDoc="0" locked="0" layoutInCell="1" allowOverlap="1" wp14:anchorId="44EB1A59" wp14:editId="1F815DC3">
              <wp:simplePos x="0" y="0"/>
              <wp:positionH relativeFrom="column">
                <wp:posOffset>-676275</wp:posOffset>
              </wp:positionH>
              <wp:positionV relativeFrom="paragraph">
                <wp:posOffset>-32385</wp:posOffset>
              </wp:positionV>
              <wp:extent cx="10029825" cy="0"/>
              <wp:effectExtent l="9525" t="15240" r="9525" b="13335"/>
              <wp:wrapNone/>
              <wp:docPr id="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3ADDA014" id="Line 2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2.55pt" to="736.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" strokecolor="#4579b8 [3044]" strokeweight="1.5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7EFF9" w14:textId="77777777" w:rsidR="002E41BF" w:rsidRDefault="002E41BF" w:rsidP="00EA5418">
      <w:r>
        <w:separator/>
      </w:r>
    </w:p>
  </w:footnote>
  <w:footnote w:type="continuationSeparator" w:id="0">
    <w:p w14:paraId="1E13A744" w14:textId="77777777" w:rsidR="002E41BF" w:rsidRDefault="002E41BF" w:rsidP="00EA5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C1F1A" w14:textId="021E5A42" w:rsidR="00DA5B1D" w:rsidRDefault="002177CB" w:rsidP="000B489A">
    <w:pPr>
      <w:pStyle w:val="Encabezado"/>
      <w:tabs>
        <w:tab w:val="clear" w:pos="4419"/>
        <w:tab w:val="clear" w:pos="8838"/>
        <w:tab w:val="left" w:pos="6804"/>
        <w:tab w:val="left" w:pos="7961"/>
      </w:tabs>
    </w:pPr>
    <w:r>
      <w:rPr>
        <w:rFonts w:ascii="Soberana Sans Light" w:hAnsi="Soberana Sans Light"/>
        <w:noProof/>
        <w:lang w:val="es-MX" w:eastAsia="es-MX"/>
      </w:rPr>
      <mc:AlternateContent>
        <mc:Choice Requires="wps">
          <w:drawing>
            <wp:anchor distT="0" distB="0" distL="114300" distR="114300" simplePos="0" relativeHeight="251655168" behindDoc="0" locked="0" layoutInCell="1" allowOverlap="1" wp14:anchorId="266C20A3" wp14:editId="0BEE7BC3">
              <wp:simplePos x="0" y="0"/>
              <wp:positionH relativeFrom="column">
                <wp:posOffset>-676275</wp:posOffset>
              </wp:positionH>
              <wp:positionV relativeFrom="paragraph">
                <wp:posOffset>210820</wp:posOffset>
              </wp:positionV>
              <wp:extent cx="10029825" cy="0"/>
              <wp:effectExtent l="9525" t="10795" r="9525" b="17780"/>
              <wp:wrapNone/>
              <wp:docPr id="4" name="4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29825" cy="0"/>
                      </a:xfrm>
                      <a:prstGeom prst="line">
                        <a:avLst/>
                      </a:prstGeom>
                      <a:noFill/>
                      <a:ln w="1905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10A5AB5B" id="4 Conector recto"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25pt,16.6pt" to="73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" strokecolor="#4579b8" strokeweight="1.5pt"/>
          </w:pict>
        </mc:Fallback>
      </mc:AlternateContent>
    </w:r>
    <w:r w:rsidR="00DA5B1D">
      <w:t xml:space="preserve">Universidad Tecnológica de Salamanca                                                                      </w:t>
    </w:r>
    <w:r w:rsidR="00013102">
      <w:t xml:space="preserve">                               </w:t>
    </w:r>
    <w:r w:rsidR="003F310B">
      <w:t>2do</w:t>
    </w:r>
    <w:r w:rsidR="00EE1203">
      <w:t xml:space="preserve"> Trimestre 2025</w:t>
    </w:r>
  </w:p>
  <w:p w14:paraId="1EE00809" w14:textId="585029DF" w:rsidR="00DA5B1D" w:rsidRDefault="00DA5B1D" w:rsidP="000B489A">
    <w:pPr>
      <w:pStyle w:val="Encabezado"/>
      <w:tabs>
        <w:tab w:val="clear" w:pos="4419"/>
        <w:tab w:val="clear" w:pos="8838"/>
        <w:tab w:val="left" w:pos="6804"/>
        <w:tab w:val="left" w:pos="796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FF681" w14:textId="1DF58672" w:rsidR="00C2252C" w:rsidRPr="007D16CA" w:rsidRDefault="002177CB" w:rsidP="00410C0A">
    <w:pPr>
      <w:pStyle w:val="Encabezado"/>
      <w:jc w:val="center"/>
      <w:rPr>
        <w:rFonts w:ascii="Arial" w:hAnsi="Arial" w:cs="Arial"/>
        <w:color w:val="808080" w:themeColor="background1" w:themeShade="80"/>
        <w:sz w:val="20"/>
        <w:szCs w:val="20"/>
      </w:rPr>
    </w:pPr>
    <w:r>
      <w:rPr>
        <w:rFonts w:ascii="Arial" w:hAnsi="Arial" w:cs="Arial"/>
        <w:noProof/>
        <w:lang w:val="es-MX" w:eastAsia="es-MX"/>
      </w:rPr>
      <mc:AlternateContent>
        <mc:Choice Requires="wps">
          <w:drawing>
            <wp:anchor distT="0" distB="0" distL="114300" distR="114300" simplePos="0" relativeHeight="251677696" behindDoc="0" locked="0" layoutInCell="1" allowOverlap="1" wp14:anchorId="5AA983CC" wp14:editId="2022C621">
              <wp:simplePos x="0" y="0"/>
              <wp:positionH relativeFrom="column">
                <wp:posOffset>-683895</wp:posOffset>
              </wp:positionH>
              <wp:positionV relativeFrom="paragraph">
                <wp:posOffset>213360</wp:posOffset>
              </wp:positionV>
              <wp:extent cx="10065385" cy="0"/>
              <wp:effectExtent l="11430" t="13335" r="10160" b="1524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65385" cy="0"/>
                      </a:xfrm>
                      <a:prstGeom prst="line">
                        <a:avLst/>
                      </a:prstGeom>
                      <a:noFill/>
                      <a:ln w="19050">
                        <a:solidFill>
                          <a:schemeClr val="accent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w14:anchorId="50063BF9" id="Line 2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53.85pt,16.8pt" to="738.7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" strokecolor="#4579b8 [3044]"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1A5"/>
    <w:multiLevelType w:val="hybridMultilevel"/>
    <w:tmpl w:val="EBE8E9C8"/>
    <w:lvl w:ilvl="0" w:tplc="080A000F">
      <w:start w:val="1"/>
      <w:numFmt w:val="decimal"/>
      <w:lvlText w:val="%1."/>
      <w:lvlJc w:val="left"/>
      <w:pPr>
        <w:ind w:left="648" w:hanging="360"/>
      </w:pPr>
      <w:rPr>
        <w:rFonts w:hint="default"/>
      </w:rPr>
    </w:lvl>
    <w:lvl w:ilvl="1" w:tplc="080A0003" w:tentative="1">
      <w:start w:val="1"/>
      <w:numFmt w:val="bullet"/>
      <w:lvlText w:val="o"/>
      <w:lvlJc w:val="left"/>
      <w:pPr>
        <w:ind w:left="1368" w:hanging="360"/>
      </w:pPr>
      <w:rPr>
        <w:rFonts w:ascii="Courier New" w:hAnsi="Courier New" w:cs="Courier New" w:hint="default"/>
      </w:rPr>
    </w:lvl>
    <w:lvl w:ilvl="2" w:tplc="080A0005" w:tentative="1">
      <w:start w:val="1"/>
      <w:numFmt w:val="bullet"/>
      <w:lvlText w:val=""/>
      <w:lvlJc w:val="left"/>
      <w:pPr>
        <w:ind w:left="2088" w:hanging="360"/>
      </w:pPr>
      <w:rPr>
        <w:rFonts w:ascii="Wingdings" w:hAnsi="Wingdings" w:hint="default"/>
      </w:rPr>
    </w:lvl>
    <w:lvl w:ilvl="3" w:tplc="080A0001" w:tentative="1">
      <w:start w:val="1"/>
      <w:numFmt w:val="bullet"/>
      <w:lvlText w:val=""/>
      <w:lvlJc w:val="left"/>
      <w:pPr>
        <w:ind w:left="2808" w:hanging="360"/>
      </w:pPr>
      <w:rPr>
        <w:rFonts w:ascii="Symbol" w:hAnsi="Symbol" w:hint="default"/>
      </w:rPr>
    </w:lvl>
    <w:lvl w:ilvl="4" w:tplc="080A0003" w:tentative="1">
      <w:start w:val="1"/>
      <w:numFmt w:val="bullet"/>
      <w:lvlText w:val="o"/>
      <w:lvlJc w:val="left"/>
      <w:pPr>
        <w:ind w:left="3528" w:hanging="360"/>
      </w:pPr>
      <w:rPr>
        <w:rFonts w:ascii="Courier New" w:hAnsi="Courier New" w:cs="Courier New" w:hint="default"/>
      </w:rPr>
    </w:lvl>
    <w:lvl w:ilvl="5" w:tplc="080A0005" w:tentative="1">
      <w:start w:val="1"/>
      <w:numFmt w:val="bullet"/>
      <w:lvlText w:val=""/>
      <w:lvlJc w:val="left"/>
      <w:pPr>
        <w:ind w:left="4248" w:hanging="360"/>
      </w:pPr>
      <w:rPr>
        <w:rFonts w:ascii="Wingdings" w:hAnsi="Wingdings" w:hint="default"/>
      </w:rPr>
    </w:lvl>
    <w:lvl w:ilvl="6" w:tplc="080A0001" w:tentative="1">
      <w:start w:val="1"/>
      <w:numFmt w:val="bullet"/>
      <w:lvlText w:val=""/>
      <w:lvlJc w:val="left"/>
      <w:pPr>
        <w:ind w:left="4968" w:hanging="360"/>
      </w:pPr>
      <w:rPr>
        <w:rFonts w:ascii="Symbol" w:hAnsi="Symbol" w:hint="default"/>
      </w:rPr>
    </w:lvl>
    <w:lvl w:ilvl="7" w:tplc="080A0003" w:tentative="1">
      <w:start w:val="1"/>
      <w:numFmt w:val="bullet"/>
      <w:lvlText w:val="o"/>
      <w:lvlJc w:val="left"/>
      <w:pPr>
        <w:ind w:left="5688" w:hanging="360"/>
      </w:pPr>
      <w:rPr>
        <w:rFonts w:ascii="Courier New" w:hAnsi="Courier New" w:cs="Courier New" w:hint="default"/>
      </w:rPr>
    </w:lvl>
    <w:lvl w:ilvl="8" w:tplc="080A0005" w:tentative="1">
      <w:start w:val="1"/>
      <w:numFmt w:val="bullet"/>
      <w:lvlText w:val=""/>
      <w:lvlJc w:val="left"/>
      <w:pPr>
        <w:ind w:left="6408" w:hanging="360"/>
      </w:pPr>
      <w:rPr>
        <w:rFonts w:ascii="Wingdings" w:hAnsi="Wingdings" w:hint="default"/>
      </w:rPr>
    </w:lvl>
  </w:abstractNum>
  <w:abstractNum w:abstractNumId="1" w15:restartNumberingAfterBreak="0">
    <w:nsid w:val="124F1B15"/>
    <w:multiLevelType w:val="hybridMultilevel"/>
    <w:tmpl w:val="47560182"/>
    <w:lvl w:ilvl="0" w:tplc="080A000F">
      <w:start w:val="1"/>
      <w:numFmt w:val="decimal"/>
      <w:lvlText w:val="%1."/>
      <w:lvlJc w:val="left"/>
      <w:pPr>
        <w:ind w:left="648" w:hanging="360"/>
      </w:p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2" w15:restartNumberingAfterBreak="0">
    <w:nsid w:val="29235515"/>
    <w:multiLevelType w:val="hybridMultilevel"/>
    <w:tmpl w:val="A4061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397287"/>
    <w:multiLevelType w:val="hybridMultilevel"/>
    <w:tmpl w:val="00B22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AC6586"/>
    <w:multiLevelType w:val="hybridMultilevel"/>
    <w:tmpl w:val="CB2AAC5A"/>
    <w:lvl w:ilvl="0" w:tplc="DED2C02C">
      <w:start w:val="1"/>
      <w:numFmt w:val="decimal"/>
      <w:lvlText w:val="%1."/>
      <w:lvlJc w:val="left"/>
      <w:pPr>
        <w:ind w:left="648" w:hanging="36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5" w15:restartNumberingAfterBreak="0">
    <w:nsid w:val="42642B73"/>
    <w:multiLevelType w:val="hybridMultilevel"/>
    <w:tmpl w:val="23D63CB2"/>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4E6776"/>
    <w:multiLevelType w:val="hybridMultilevel"/>
    <w:tmpl w:val="A42808DA"/>
    <w:lvl w:ilvl="0" w:tplc="080A0001">
      <w:start w:val="1"/>
      <w:numFmt w:val="bullet"/>
      <w:lvlText w:val=""/>
      <w:lvlJc w:val="left"/>
      <w:pPr>
        <w:ind w:left="720" w:hanging="360"/>
      </w:pPr>
      <w:rPr>
        <w:rFonts w:ascii="Symbol" w:hAnsi="Symbol" w:hint="default"/>
      </w:rPr>
    </w:lvl>
    <w:lvl w:ilvl="1" w:tplc="080A0003">
      <w:start w:val="1"/>
      <w:numFmt w:val="decimal"/>
      <w:lvlText w:val="%2."/>
      <w:lvlJc w:val="left"/>
      <w:pPr>
        <w:tabs>
          <w:tab w:val="num" w:pos="1440"/>
        </w:tabs>
        <w:ind w:left="1440" w:hanging="360"/>
      </w:pPr>
    </w:lvl>
    <w:lvl w:ilvl="2" w:tplc="080A0005">
      <w:start w:val="1"/>
      <w:numFmt w:val="decimal"/>
      <w:lvlText w:val="%3."/>
      <w:lvlJc w:val="left"/>
      <w:pPr>
        <w:tabs>
          <w:tab w:val="num" w:pos="2160"/>
        </w:tabs>
        <w:ind w:left="2160" w:hanging="360"/>
      </w:pPr>
    </w:lvl>
    <w:lvl w:ilvl="3" w:tplc="080A0001">
      <w:start w:val="1"/>
      <w:numFmt w:val="decimal"/>
      <w:lvlText w:val="%4."/>
      <w:lvlJc w:val="left"/>
      <w:pPr>
        <w:tabs>
          <w:tab w:val="num" w:pos="2880"/>
        </w:tabs>
        <w:ind w:left="2880" w:hanging="360"/>
      </w:pPr>
    </w:lvl>
    <w:lvl w:ilvl="4" w:tplc="080A0003">
      <w:start w:val="1"/>
      <w:numFmt w:val="decimal"/>
      <w:lvlText w:val="%5."/>
      <w:lvlJc w:val="left"/>
      <w:pPr>
        <w:tabs>
          <w:tab w:val="num" w:pos="3600"/>
        </w:tabs>
        <w:ind w:left="3600" w:hanging="360"/>
      </w:pPr>
    </w:lvl>
    <w:lvl w:ilvl="5" w:tplc="080A0005">
      <w:start w:val="1"/>
      <w:numFmt w:val="decimal"/>
      <w:lvlText w:val="%6."/>
      <w:lvlJc w:val="left"/>
      <w:pPr>
        <w:tabs>
          <w:tab w:val="num" w:pos="4320"/>
        </w:tabs>
        <w:ind w:left="4320" w:hanging="360"/>
      </w:pPr>
    </w:lvl>
    <w:lvl w:ilvl="6" w:tplc="080A0001">
      <w:start w:val="1"/>
      <w:numFmt w:val="decimal"/>
      <w:lvlText w:val="%7."/>
      <w:lvlJc w:val="left"/>
      <w:pPr>
        <w:tabs>
          <w:tab w:val="num" w:pos="5040"/>
        </w:tabs>
        <w:ind w:left="5040" w:hanging="360"/>
      </w:pPr>
    </w:lvl>
    <w:lvl w:ilvl="7" w:tplc="080A0003">
      <w:start w:val="1"/>
      <w:numFmt w:val="decimal"/>
      <w:lvlText w:val="%8."/>
      <w:lvlJc w:val="left"/>
      <w:pPr>
        <w:tabs>
          <w:tab w:val="num" w:pos="5760"/>
        </w:tabs>
        <w:ind w:left="5760" w:hanging="360"/>
      </w:pPr>
    </w:lvl>
    <w:lvl w:ilvl="8" w:tplc="080A0005">
      <w:start w:val="1"/>
      <w:numFmt w:val="decimal"/>
      <w:lvlText w:val="%9."/>
      <w:lvlJc w:val="left"/>
      <w:pPr>
        <w:tabs>
          <w:tab w:val="num" w:pos="6480"/>
        </w:tabs>
        <w:ind w:left="6480" w:hanging="360"/>
      </w:pPr>
    </w:lvl>
  </w:abstractNum>
  <w:abstractNum w:abstractNumId="8" w15:restartNumberingAfterBreak="0">
    <w:nsid w:val="68C22BB2"/>
    <w:multiLevelType w:val="hybridMultilevel"/>
    <w:tmpl w:val="FA02D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1117A96"/>
    <w:multiLevelType w:val="hybridMultilevel"/>
    <w:tmpl w:val="6FEE730A"/>
    <w:lvl w:ilvl="0" w:tplc="A926AD56">
      <w:numFmt w:val="bullet"/>
      <w:lvlText w:val=""/>
      <w:lvlJc w:val="left"/>
      <w:pPr>
        <w:ind w:left="720" w:hanging="360"/>
      </w:pPr>
      <w:rPr>
        <w:rFonts w:ascii="Symbol" w:eastAsia="Calibri" w:hAnsi="Symbol"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48851977">
    <w:abstractNumId w:val="0"/>
  </w:num>
  <w:num w:numId="2" w16cid:durableId="1788546684">
    <w:abstractNumId w:val="1"/>
  </w:num>
  <w:num w:numId="3" w16cid:durableId="1350179138">
    <w:abstractNumId w:val="4"/>
  </w:num>
  <w:num w:numId="4" w16cid:durableId="287014600">
    <w:abstractNumId w:val="2"/>
  </w:num>
  <w:num w:numId="5" w16cid:durableId="194203029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3022366">
    <w:abstractNumId w:val="8"/>
  </w:num>
  <w:num w:numId="7" w16cid:durableId="1730419114">
    <w:abstractNumId w:val="5"/>
  </w:num>
  <w:num w:numId="8" w16cid:durableId="175117223">
    <w:abstractNumId w:val="3"/>
  </w:num>
  <w:num w:numId="9" w16cid:durableId="380250944">
    <w:abstractNumId w:val="6"/>
  </w:num>
  <w:num w:numId="10" w16cid:durableId="372772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418"/>
    <w:rsid w:val="0000070B"/>
    <w:rsid w:val="00003241"/>
    <w:rsid w:val="000057CF"/>
    <w:rsid w:val="00013102"/>
    <w:rsid w:val="00017FBD"/>
    <w:rsid w:val="00026D17"/>
    <w:rsid w:val="00031801"/>
    <w:rsid w:val="000355E9"/>
    <w:rsid w:val="00040466"/>
    <w:rsid w:val="0004218E"/>
    <w:rsid w:val="00045203"/>
    <w:rsid w:val="0005062F"/>
    <w:rsid w:val="00051ECA"/>
    <w:rsid w:val="00054908"/>
    <w:rsid w:val="00056042"/>
    <w:rsid w:val="00061A86"/>
    <w:rsid w:val="00062DBE"/>
    <w:rsid w:val="00072FFD"/>
    <w:rsid w:val="00076C45"/>
    <w:rsid w:val="00094277"/>
    <w:rsid w:val="000963D2"/>
    <w:rsid w:val="00097AB0"/>
    <w:rsid w:val="000A4BED"/>
    <w:rsid w:val="000A6167"/>
    <w:rsid w:val="000A669D"/>
    <w:rsid w:val="000A7B97"/>
    <w:rsid w:val="000B3C7C"/>
    <w:rsid w:val="000B489A"/>
    <w:rsid w:val="000C2B2E"/>
    <w:rsid w:val="000C4654"/>
    <w:rsid w:val="000D5FBB"/>
    <w:rsid w:val="000E1254"/>
    <w:rsid w:val="000E5608"/>
    <w:rsid w:val="000F22A6"/>
    <w:rsid w:val="000F5D09"/>
    <w:rsid w:val="0010245D"/>
    <w:rsid w:val="00106804"/>
    <w:rsid w:val="00107A57"/>
    <w:rsid w:val="00114238"/>
    <w:rsid w:val="00114DE7"/>
    <w:rsid w:val="00120FC0"/>
    <w:rsid w:val="0012194C"/>
    <w:rsid w:val="00121C91"/>
    <w:rsid w:val="00125A9B"/>
    <w:rsid w:val="00126634"/>
    <w:rsid w:val="0013011C"/>
    <w:rsid w:val="00136010"/>
    <w:rsid w:val="00137B35"/>
    <w:rsid w:val="001423F1"/>
    <w:rsid w:val="001439FE"/>
    <w:rsid w:val="00145121"/>
    <w:rsid w:val="00153A59"/>
    <w:rsid w:val="0015606C"/>
    <w:rsid w:val="00161F91"/>
    <w:rsid w:val="001646D9"/>
    <w:rsid w:val="00165757"/>
    <w:rsid w:val="00165BF7"/>
    <w:rsid w:val="00174A37"/>
    <w:rsid w:val="001814E1"/>
    <w:rsid w:val="00183DE4"/>
    <w:rsid w:val="00184B82"/>
    <w:rsid w:val="001853A4"/>
    <w:rsid w:val="001908EA"/>
    <w:rsid w:val="00192B67"/>
    <w:rsid w:val="001973FC"/>
    <w:rsid w:val="001A05C7"/>
    <w:rsid w:val="001A404E"/>
    <w:rsid w:val="001A6FC3"/>
    <w:rsid w:val="001B0D37"/>
    <w:rsid w:val="001B0EC5"/>
    <w:rsid w:val="001B1B72"/>
    <w:rsid w:val="001B262F"/>
    <w:rsid w:val="001B71C9"/>
    <w:rsid w:val="001B7806"/>
    <w:rsid w:val="001C0F11"/>
    <w:rsid w:val="001C148A"/>
    <w:rsid w:val="001C5386"/>
    <w:rsid w:val="001D0B43"/>
    <w:rsid w:val="001D36FA"/>
    <w:rsid w:val="001D77CF"/>
    <w:rsid w:val="001E00C6"/>
    <w:rsid w:val="001E0675"/>
    <w:rsid w:val="001E3B9D"/>
    <w:rsid w:val="001E7F9E"/>
    <w:rsid w:val="001F620C"/>
    <w:rsid w:val="00201611"/>
    <w:rsid w:val="002043BD"/>
    <w:rsid w:val="0020643A"/>
    <w:rsid w:val="002073FD"/>
    <w:rsid w:val="00215CC6"/>
    <w:rsid w:val="002177CB"/>
    <w:rsid w:val="00217EA0"/>
    <w:rsid w:val="00227E0F"/>
    <w:rsid w:val="00232A9B"/>
    <w:rsid w:val="00245B10"/>
    <w:rsid w:val="00246794"/>
    <w:rsid w:val="002530B9"/>
    <w:rsid w:val="0025714C"/>
    <w:rsid w:val="0026216E"/>
    <w:rsid w:val="00262E4D"/>
    <w:rsid w:val="0026420C"/>
    <w:rsid w:val="0026488C"/>
    <w:rsid w:val="00266491"/>
    <w:rsid w:val="00284168"/>
    <w:rsid w:val="002864BC"/>
    <w:rsid w:val="0028780C"/>
    <w:rsid w:val="002906E8"/>
    <w:rsid w:val="00293A60"/>
    <w:rsid w:val="002A70B3"/>
    <w:rsid w:val="002B6BA9"/>
    <w:rsid w:val="002C5FD0"/>
    <w:rsid w:val="002D2737"/>
    <w:rsid w:val="002D7B66"/>
    <w:rsid w:val="002E038A"/>
    <w:rsid w:val="002E3600"/>
    <w:rsid w:val="002E41BF"/>
    <w:rsid w:val="002E7A4E"/>
    <w:rsid w:val="002F1825"/>
    <w:rsid w:val="002F69AA"/>
    <w:rsid w:val="00300A8C"/>
    <w:rsid w:val="00307635"/>
    <w:rsid w:val="003079BC"/>
    <w:rsid w:val="0031392B"/>
    <w:rsid w:val="00313B32"/>
    <w:rsid w:val="0032547C"/>
    <w:rsid w:val="0032782B"/>
    <w:rsid w:val="00332EA3"/>
    <w:rsid w:val="0033464B"/>
    <w:rsid w:val="003364E9"/>
    <w:rsid w:val="003502F3"/>
    <w:rsid w:val="00355721"/>
    <w:rsid w:val="00355821"/>
    <w:rsid w:val="003610E0"/>
    <w:rsid w:val="003702C1"/>
    <w:rsid w:val="00370B66"/>
    <w:rsid w:val="00372F40"/>
    <w:rsid w:val="00375A8C"/>
    <w:rsid w:val="00381099"/>
    <w:rsid w:val="003820CA"/>
    <w:rsid w:val="003903D6"/>
    <w:rsid w:val="003917EE"/>
    <w:rsid w:val="00394920"/>
    <w:rsid w:val="003A0375"/>
    <w:rsid w:val="003A0EE2"/>
    <w:rsid w:val="003A1276"/>
    <w:rsid w:val="003B60FA"/>
    <w:rsid w:val="003C0908"/>
    <w:rsid w:val="003D00AA"/>
    <w:rsid w:val="003D0FBA"/>
    <w:rsid w:val="003D3EFE"/>
    <w:rsid w:val="003D5DBF"/>
    <w:rsid w:val="003E7FD0"/>
    <w:rsid w:val="003F0392"/>
    <w:rsid w:val="003F310B"/>
    <w:rsid w:val="00403C47"/>
    <w:rsid w:val="00410AF3"/>
    <w:rsid w:val="00410C0A"/>
    <w:rsid w:val="0041268A"/>
    <w:rsid w:val="00412705"/>
    <w:rsid w:val="00412EB1"/>
    <w:rsid w:val="00414245"/>
    <w:rsid w:val="00417817"/>
    <w:rsid w:val="00426CD4"/>
    <w:rsid w:val="00426E16"/>
    <w:rsid w:val="0044253C"/>
    <w:rsid w:val="004427A8"/>
    <w:rsid w:val="00442BD3"/>
    <w:rsid w:val="004437A5"/>
    <w:rsid w:val="00444A3D"/>
    <w:rsid w:val="00446FA2"/>
    <w:rsid w:val="00462F48"/>
    <w:rsid w:val="0046612F"/>
    <w:rsid w:val="00467610"/>
    <w:rsid w:val="0047223C"/>
    <w:rsid w:val="00472597"/>
    <w:rsid w:val="00473EA6"/>
    <w:rsid w:val="00481BB6"/>
    <w:rsid w:val="00486AE1"/>
    <w:rsid w:val="004915D1"/>
    <w:rsid w:val="00491EDD"/>
    <w:rsid w:val="004939F2"/>
    <w:rsid w:val="00493FA8"/>
    <w:rsid w:val="00495751"/>
    <w:rsid w:val="00497D8B"/>
    <w:rsid w:val="004B01D6"/>
    <w:rsid w:val="004B284E"/>
    <w:rsid w:val="004B5E75"/>
    <w:rsid w:val="004B6537"/>
    <w:rsid w:val="004C4C71"/>
    <w:rsid w:val="004D41B8"/>
    <w:rsid w:val="004D4F5D"/>
    <w:rsid w:val="004F09C0"/>
    <w:rsid w:val="004F29CC"/>
    <w:rsid w:val="004F50D8"/>
    <w:rsid w:val="004F6955"/>
    <w:rsid w:val="00502D8E"/>
    <w:rsid w:val="005033CB"/>
    <w:rsid w:val="00506351"/>
    <w:rsid w:val="005117F4"/>
    <w:rsid w:val="00516D35"/>
    <w:rsid w:val="00522632"/>
    <w:rsid w:val="00524746"/>
    <w:rsid w:val="00531310"/>
    <w:rsid w:val="00534982"/>
    <w:rsid w:val="00540418"/>
    <w:rsid w:val="00542085"/>
    <w:rsid w:val="00543CAC"/>
    <w:rsid w:val="00567E46"/>
    <w:rsid w:val="005706D9"/>
    <w:rsid w:val="00572656"/>
    <w:rsid w:val="00572976"/>
    <w:rsid w:val="005775E8"/>
    <w:rsid w:val="00582405"/>
    <w:rsid w:val="00584484"/>
    <w:rsid w:val="005855FA"/>
    <w:rsid w:val="005859FA"/>
    <w:rsid w:val="00596CFC"/>
    <w:rsid w:val="005A371E"/>
    <w:rsid w:val="005B1D10"/>
    <w:rsid w:val="005B6522"/>
    <w:rsid w:val="005C3F96"/>
    <w:rsid w:val="005C6058"/>
    <w:rsid w:val="005D1026"/>
    <w:rsid w:val="005D2601"/>
    <w:rsid w:val="005D63B6"/>
    <w:rsid w:val="005F38CB"/>
    <w:rsid w:val="006046CA"/>
    <w:rsid w:val="006048D2"/>
    <w:rsid w:val="00611E39"/>
    <w:rsid w:val="00612938"/>
    <w:rsid w:val="006133D2"/>
    <w:rsid w:val="00614502"/>
    <w:rsid w:val="00620E8D"/>
    <w:rsid w:val="00624AF0"/>
    <w:rsid w:val="00633237"/>
    <w:rsid w:val="00636BC8"/>
    <w:rsid w:val="006371E0"/>
    <w:rsid w:val="006407C6"/>
    <w:rsid w:val="00640E11"/>
    <w:rsid w:val="006429CD"/>
    <w:rsid w:val="006453C1"/>
    <w:rsid w:val="0065283C"/>
    <w:rsid w:val="00656FD3"/>
    <w:rsid w:val="00661772"/>
    <w:rsid w:val="00662E1A"/>
    <w:rsid w:val="00664EA2"/>
    <w:rsid w:val="00665222"/>
    <w:rsid w:val="006668AF"/>
    <w:rsid w:val="00676D1E"/>
    <w:rsid w:val="00676FAF"/>
    <w:rsid w:val="006817A5"/>
    <w:rsid w:val="00682DA8"/>
    <w:rsid w:val="00684AF3"/>
    <w:rsid w:val="006A0B2C"/>
    <w:rsid w:val="006A605D"/>
    <w:rsid w:val="006B16E7"/>
    <w:rsid w:val="006B729B"/>
    <w:rsid w:val="006C03CB"/>
    <w:rsid w:val="006C3DC5"/>
    <w:rsid w:val="006C5F52"/>
    <w:rsid w:val="006D350A"/>
    <w:rsid w:val="006D75D6"/>
    <w:rsid w:val="006E0202"/>
    <w:rsid w:val="006E6ABC"/>
    <w:rsid w:val="006E6B8E"/>
    <w:rsid w:val="006E77DD"/>
    <w:rsid w:val="006F6105"/>
    <w:rsid w:val="006F655F"/>
    <w:rsid w:val="007147F1"/>
    <w:rsid w:val="00725769"/>
    <w:rsid w:val="007303FB"/>
    <w:rsid w:val="00732C21"/>
    <w:rsid w:val="00735303"/>
    <w:rsid w:val="00735978"/>
    <w:rsid w:val="00735C8C"/>
    <w:rsid w:val="00737CE6"/>
    <w:rsid w:val="00740458"/>
    <w:rsid w:val="007415E8"/>
    <w:rsid w:val="0074343E"/>
    <w:rsid w:val="007626C3"/>
    <w:rsid w:val="007716C5"/>
    <w:rsid w:val="007716F2"/>
    <w:rsid w:val="00772D11"/>
    <w:rsid w:val="00776082"/>
    <w:rsid w:val="007811CB"/>
    <w:rsid w:val="00781278"/>
    <w:rsid w:val="0078139D"/>
    <w:rsid w:val="00786975"/>
    <w:rsid w:val="00794F06"/>
    <w:rsid w:val="0079582C"/>
    <w:rsid w:val="007A2E66"/>
    <w:rsid w:val="007A4AC0"/>
    <w:rsid w:val="007A5C35"/>
    <w:rsid w:val="007B1A84"/>
    <w:rsid w:val="007B4655"/>
    <w:rsid w:val="007C33A9"/>
    <w:rsid w:val="007C7CE3"/>
    <w:rsid w:val="007D16CA"/>
    <w:rsid w:val="007D31BE"/>
    <w:rsid w:val="007D6E9A"/>
    <w:rsid w:val="007E7DC3"/>
    <w:rsid w:val="007F2850"/>
    <w:rsid w:val="007F5B63"/>
    <w:rsid w:val="00802567"/>
    <w:rsid w:val="00803F8D"/>
    <w:rsid w:val="008043DB"/>
    <w:rsid w:val="008053A2"/>
    <w:rsid w:val="0080591B"/>
    <w:rsid w:val="00810CE1"/>
    <w:rsid w:val="00811857"/>
    <w:rsid w:val="00813C52"/>
    <w:rsid w:val="00816BF6"/>
    <w:rsid w:val="0083507C"/>
    <w:rsid w:val="00842599"/>
    <w:rsid w:val="00843840"/>
    <w:rsid w:val="008637C1"/>
    <w:rsid w:val="00866DC7"/>
    <w:rsid w:val="008859A1"/>
    <w:rsid w:val="008913A9"/>
    <w:rsid w:val="00893945"/>
    <w:rsid w:val="008976A3"/>
    <w:rsid w:val="008A6E4D"/>
    <w:rsid w:val="008B0017"/>
    <w:rsid w:val="008B6109"/>
    <w:rsid w:val="008C0952"/>
    <w:rsid w:val="008D4272"/>
    <w:rsid w:val="008E3652"/>
    <w:rsid w:val="008E38D7"/>
    <w:rsid w:val="008F2BC9"/>
    <w:rsid w:val="008F471B"/>
    <w:rsid w:val="00900209"/>
    <w:rsid w:val="00905558"/>
    <w:rsid w:val="009133A2"/>
    <w:rsid w:val="009206EA"/>
    <w:rsid w:val="0093047D"/>
    <w:rsid w:val="00932E78"/>
    <w:rsid w:val="009478B4"/>
    <w:rsid w:val="00956F64"/>
    <w:rsid w:val="0096474B"/>
    <w:rsid w:val="00970701"/>
    <w:rsid w:val="009754F0"/>
    <w:rsid w:val="00976B3A"/>
    <w:rsid w:val="00980ECB"/>
    <w:rsid w:val="00982A1D"/>
    <w:rsid w:val="00985404"/>
    <w:rsid w:val="0099048E"/>
    <w:rsid w:val="009909AB"/>
    <w:rsid w:val="00994457"/>
    <w:rsid w:val="00994B11"/>
    <w:rsid w:val="009A1108"/>
    <w:rsid w:val="009C1CD1"/>
    <w:rsid w:val="009C47DB"/>
    <w:rsid w:val="009C54BF"/>
    <w:rsid w:val="009C721E"/>
    <w:rsid w:val="009C7BB0"/>
    <w:rsid w:val="009E42FB"/>
    <w:rsid w:val="009E60D5"/>
    <w:rsid w:val="009F1266"/>
    <w:rsid w:val="00A04974"/>
    <w:rsid w:val="00A0752F"/>
    <w:rsid w:val="00A10E8A"/>
    <w:rsid w:val="00A14B74"/>
    <w:rsid w:val="00A16E67"/>
    <w:rsid w:val="00A24B5C"/>
    <w:rsid w:val="00A25A64"/>
    <w:rsid w:val="00A274CF"/>
    <w:rsid w:val="00A30168"/>
    <w:rsid w:val="00A31BF9"/>
    <w:rsid w:val="00A31CDA"/>
    <w:rsid w:val="00A51FB6"/>
    <w:rsid w:val="00A52E01"/>
    <w:rsid w:val="00A670FB"/>
    <w:rsid w:val="00A711D8"/>
    <w:rsid w:val="00A770CC"/>
    <w:rsid w:val="00A81B34"/>
    <w:rsid w:val="00A83BD1"/>
    <w:rsid w:val="00A85ECC"/>
    <w:rsid w:val="00A87F6D"/>
    <w:rsid w:val="00A911BD"/>
    <w:rsid w:val="00A9198F"/>
    <w:rsid w:val="00A92BF9"/>
    <w:rsid w:val="00AA5F6B"/>
    <w:rsid w:val="00AB13B7"/>
    <w:rsid w:val="00AB1994"/>
    <w:rsid w:val="00AB5579"/>
    <w:rsid w:val="00AB6104"/>
    <w:rsid w:val="00AB6C5C"/>
    <w:rsid w:val="00AC2BEB"/>
    <w:rsid w:val="00AC47CB"/>
    <w:rsid w:val="00AC5103"/>
    <w:rsid w:val="00AC6BC3"/>
    <w:rsid w:val="00AC7206"/>
    <w:rsid w:val="00AD0E70"/>
    <w:rsid w:val="00AD1576"/>
    <w:rsid w:val="00AD42C4"/>
    <w:rsid w:val="00AD4901"/>
    <w:rsid w:val="00AD7D3E"/>
    <w:rsid w:val="00AD7E1C"/>
    <w:rsid w:val="00AE0300"/>
    <w:rsid w:val="00AE0C4F"/>
    <w:rsid w:val="00AE12A3"/>
    <w:rsid w:val="00AE5EA4"/>
    <w:rsid w:val="00AE6940"/>
    <w:rsid w:val="00AE73BC"/>
    <w:rsid w:val="00AE74C5"/>
    <w:rsid w:val="00AE7847"/>
    <w:rsid w:val="00AF253A"/>
    <w:rsid w:val="00AF2C80"/>
    <w:rsid w:val="00AF589F"/>
    <w:rsid w:val="00B07C17"/>
    <w:rsid w:val="00B16297"/>
    <w:rsid w:val="00B17423"/>
    <w:rsid w:val="00B21FCF"/>
    <w:rsid w:val="00B24F5E"/>
    <w:rsid w:val="00B326B0"/>
    <w:rsid w:val="00B35A7E"/>
    <w:rsid w:val="00B400BD"/>
    <w:rsid w:val="00B4168C"/>
    <w:rsid w:val="00B42A02"/>
    <w:rsid w:val="00B42BF0"/>
    <w:rsid w:val="00B45913"/>
    <w:rsid w:val="00B45926"/>
    <w:rsid w:val="00B5759C"/>
    <w:rsid w:val="00B61B23"/>
    <w:rsid w:val="00B65FA7"/>
    <w:rsid w:val="00B72E45"/>
    <w:rsid w:val="00B76771"/>
    <w:rsid w:val="00B849EE"/>
    <w:rsid w:val="00B902CF"/>
    <w:rsid w:val="00B93254"/>
    <w:rsid w:val="00B97D6F"/>
    <w:rsid w:val="00BA5834"/>
    <w:rsid w:val="00BA602C"/>
    <w:rsid w:val="00BB3039"/>
    <w:rsid w:val="00BB6926"/>
    <w:rsid w:val="00BB6BB8"/>
    <w:rsid w:val="00BC11BA"/>
    <w:rsid w:val="00BC16AF"/>
    <w:rsid w:val="00BD1C57"/>
    <w:rsid w:val="00BD5C94"/>
    <w:rsid w:val="00BD7A90"/>
    <w:rsid w:val="00BF0F51"/>
    <w:rsid w:val="00BF2CE4"/>
    <w:rsid w:val="00BF7CA4"/>
    <w:rsid w:val="00C1375F"/>
    <w:rsid w:val="00C15B56"/>
    <w:rsid w:val="00C20B56"/>
    <w:rsid w:val="00C2252C"/>
    <w:rsid w:val="00C2262F"/>
    <w:rsid w:val="00C22F80"/>
    <w:rsid w:val="00C269AE"/>
    <w:rsid w:val="00C31117"/>
    <w:rsid w:val="00C32634"/>
    <w:rsid w:val="00C32B96"/>
    <w:rsid w:val="00C41566"/>
    <w:rsid w:val="00C41EDB"/>
    <w:rsid w:val="00C44F01"/>
    <w:rsid w:val="00C47073"/>
    <w:rsid w:val="00C55772"/>
    <w:rsid w:val="00C558A9"/>
    <w:rsid w:val="00C56A30"/>
    <w:rsid w:val="00C57B0A"/>
    <w:rsid w:val="00C6145C"/>
    <w:rsid w:val="00C65D40"/>
    <w:rsid w:val="00C662F3"/>
    <w:rsid w:val="00C73ED8"/>
    <w:rsid w:val="00C80A56"/>
    <w:rsid w:val="00C83BE6"/>
    <w:rsid w:val="00C929C8"/>
    <w:rsid w:val="00C9309B"/>
    <w:rsid w:val="00C95417"/>
    <w:rsid w:val="00CA2D37"/>
    <w:rsid w:val="00CA5468"/>
    <w:rsid w:val="00CB1CEC"/>
    <w:rsid w:val="00CB4256"/>
    <w:rsid w:val="00CB4450"/>
    <w:rsid w:val="00CC2455"/>
    <w:rsid w:val="00CC5CB6"/>
    <w:rsid w:val="00CD7442"/>
    <w:rsid w:val="00CE06A5"/>
    <w:rsid w:val="00CE3A44"/>
    <w:rsid w:val="00CF344F"/>
    <w:rsid w:val="00D04581"/>
    <w:rsid w:val="00D0510A"/>
    <w:rsid w:val="00D055EC"/>
    <w:rsid w:val="00D13436"/>
    <w:rsid w:val="00D136C5"/>
    <w:rsid w:val="00D154BE"/>
    <w:rsid w:val="00D1770E"/>
    <w:rsid w:val="00D22757"/>
    <w:rsid w:val="00D240AD"/>
    <w:rsid w:val="00D325BD"/>
    <w:rsid w:val="00D325ED"/>
    <w:rsid w:val="00D404ED"/>
    <w:rsid w:val="00D460A3"/>
    <w:rsid w:val="00D4624A"/>
    <w:rsid w:val="00D51261"/>
    <w:rsid w:val="00D54AC6"/>
    <w:rsid w:val="00D71401"/>
    <w:rsid w:val="00D748D3"/>
    <w:rsid w:val="00D752A7"/>
    <w:rsid w:val="00D85498"/>
    <w:rsid w:val="00D91D5D"/>
    <w:rsid w:val="00D94661"/>
    <w:rsid w:val="00DA1718"/>
    <w:rsid w:val="00DA1F12"/>
    <w:rsid w:val="00DA4DF3"/>
    <w:rsid w:val="00DA5B1D"/>
    <w:rsid w:val="00DB28CD"/>
    <w:rsid w:val="00DB378D"/>
    <w:rsid w:val="00DB4299"/>
    <w:rsid w:val="00DB450B"/>
    <w:rsid w:val="00DD06AB"/>
    <w:rsid w:val="00DD075D"/>
    <w:rsid w:val="00DD230F"/>
    <w:rsid w:val="00DD2C9D"/>
    <w:rsid w:val="00DD644F"/>
    <w:rsid w:val="00DD7E3C"/>
    <w:rsid w:val="00DE6014"/>
    <w:rsid w:val="00DE7785"/>
    <w:rsid w:val="00DE797D"/>
    <w:rsid w:val="00DF12D0"/>
    <w:rsid w:val="00DF3AD2"/>
    <w:rsid w:val="00DF77EA"/>
    <w:rsid w:val="00E03129"/>
    <w:rsid w:val="00E05FFB"/>
    <w:rsid w:val="00E1150D"/>
    <w:rsid w:val="00E11D83"/>
    <w:rsid w:val="00E13FEA"/>
    <w:rsid w:val="00E15B6E"/>
    <w:rsid w:val="00E24C87"/>
    <w:rsid w:val="00E309F3"/>
    <w:rsid w:val="00E32708"/>
    <w:rsid w:val="00E3623C"/>
    <w:rsid w:val="00E37828"/>
    <w:rsid w:val="00E42847"/>
    <w:rsid w:val="00E622A9"/>
    <w:rsid w:val="00E62E28"/>
    <w:rsid w:val="00E64A6D"/>
    <w:rsid w:val="00E74945"/>
    <w:rsid w:val="00E87BBE"/>
    <w:rsid w:val="00E9097D"/>
    <w:rsid w:val="00EA1039"/>
    <w:rsid w:val="00EA3C5D"/>
    <w:rsid w:val="00EA5418"/>
    <w:rsid w:val="00EA6499"/>
    <w:rsid w:val="00EB0CAB"/>
    <w:rsid w:val="00EB1F1F"/>
    <w:rsid w:val="00EC185F"/>
    <w:rsid w:val="00EC4315"/>
    <w:rsid w:val="00ED08C8"/>
    <w:rsid w:val="00ED7A80"/>
    <w:rsid w:val="00ED7B94"/>
    <w:rsid w:val="00EE10DE"/>
    <w:rsid w:val="00EE1203"/>
    <w:rsid w:val="00EE14F0"/>
    <w:rsid w:val="00EE1674"/>
    <w:rsid w:val="00EE393F"/>
    <w:rsid w:val="00F00B08"/>
    <w:rsid w:val="00F03555"/>
    <w:rsid w:val="00F04A31"/>
    <w:rsid w:val="00F04AA3"/>
    <w:rsid w:val="00F077A8"/>
    <w:rsid w:val="00F07FAF"/>
    <w:rsid w:val="00F17883"/>
    <w:rsid w:val="00F22101"/>
    <w:rsid w:val="00F2569F"/>
    <w:rsid w:val="00F345F1"/>
    <w:rsid w:val="00F37607"/>
    <w:rsid w:val="00F428F5"/>
    <w:rsid w:val="00F545E2"/>
    <w:rsid w:val="00F65B80"/>
    <w:rsid w:val="00F664E4"/>
    <w:rsid w:val="00F743A5"/>
    <w:rsid w:val="00F75E8F"/>
    <w:rsid w:val="00F76FAF"/>
    <w:rsid w:val="00F82906"/>
    <w:rsid w:val="00F84416"/>
    <w:rsid w:val="00F9018A"/>
    <w:rsid w:val="00F92B59"/>
    <w:rsid w:val="00F94A6A"/>
    <w:rsid w:val="00F96944"/>
    <w:rsid w:val="00FB63B3"/>
    <w:rsid w:val="00FC2D71"/>
    <w:rsid w:val="00FC30C2"/>
    <w:rsid w:val="00FC38BC"/>
    <w:rsid w:val="00FC43EB"/>
    <w:rsid w:val="00FC4656"/>
    <w:rsid w:val="00FD63EF"/>
    <w:rsid w:val="00FD73DF"/>
    <w:rsid w:val="00FD741E"/>
    <w:rsid w:val="00FE4B20"/>
    <w:rsid w:val="00FE671F"/>
    <w:rsid w:val="00FF1EF6"/>
    <w:rsid w:val="00FF30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773E2"/>
  <w15:docId w15:val="{B87D3AA5-6F66-4D29-9F55-B240FF1B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7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A5418"/>
    <w:rPr>
      <w:sz w:val="20"/>
      <w:szCs w:val="20"/>
    </w:rPr>
  </w:style>
  <w:style w:type="character" w:customStyle="1" w:styleId="TextonotapieCar">
    <w:name w:val="Texto nota pie Car"/>
    <w:basedOn w:val="Fuentedeprrafopredeter"/>
    <w:link w:val="Textonotapie"/>
    <w:uiPriority w:val="99"/>
    <w:semiHidden/>
    <w:rsid w:val="00EA5418"/>
    <w:rPr>
      <w:sz w:val="20"/>
      <w:szCs w:val="20"/>
    </w:rPr>
  </w:style>
  <w:style w:type="character" w:styleId="Refdenotaalpie">
    <w:name w:val="footnote reference"/>
    <w:basedOn w:val="Fuentedeprrafopredeter"/>
    <w:uiPriority w:val="99"/>
    <w:unhideWhenUsed/>
    <w:rsid w:val="00EA5418"/>
    <w:rPr>
      <w:vertAlign w:val="superscript"/>
    </w:rPr>
  </w:style>
  <w:style w:type="paragraph" w:styleId="Encabezado">
    <w:name w:val="header"/>
    <w:basedOn w:val="Normal"/>
    <w:link w:val="EncabezadoCar"/>
    <w:uiPriority w:val="99"/>
    <w:unhideWhenUsed/>
    <w:rsid w:val="008E3652"/>
    <w:pPr>
      <w:tabs>
        <w:tab w:val="center" w:pos="4419"/>
        <w:tab w:val="right" w:pos="8838"/>
      </w:tabs>
    </w:pPr>
  </w:style>
  <w:style w:type="character" w:customStyle="1" w:styleId="EncabezadoCar">
    <w:name w:val="Encabezado Car"/>
    <w:basedOn w:val="Fuentedeprrafopredeter"/>
    <w:link w:val="Encabezado"/>
    <w:uiPriority w:val="99"/>
    <w:rsid w:val="008E3652"/>
  </w:style>
  <w:style w:type="paragraph" w:styleId="Piedepgina">
    <w:name w:val="footer"/>
    <w:basedOn w:val="Normal"/>
    <w:link w:val="PiedepginaCar"/>
    <w:uiPriority w:val="99"/>
    <w:unhideWhenUsed/>
    <w:rsid w:val="008E3652"/>
    <w:pPr>
      <w:tabs>
        <w:tab w:val="center" w:pos="4419"/>
        <w:tab w:val="right" w:pos="8838"/>
      </w:tabs>
    </w:pPr>
  </w:style>
  <w:style w:type="character" w:customStyle="1" w:styleId="PiedepginaCar">
    <w:name w:val="Pie de página Car"/>
    <w:basedOn w:val="Fuentedeprrafopredeter"/>
    <w:link w:val="Piedepgina"/>
    <w:uiPriority w:val="99"/>
    <w:rsid w:val="008E3652"/>
  </w:style>
  <w:style w:type="paragraph" w:customStyle="1" w:styleId="Texto">
    <w:name w:val="Texto"/>
    <w:basedOn w:val="Normal"/>
    <w:link w:val="TextoCar"/>
    <w:qFormat/>
    <w:rsid w:val="00540418"/>
    <w:pPr>
      <w:spacing w:after="101" w:line="216" w:lineRule="exact"/>
      <w:ind w:firstLine="288"/>
      <w:jc w:val="both"/>
    </w:pPr>
    <w:rPr>
      <w:rFonts w:ascii="Arial" w:hAnsi="Arial" w:cs="Arial"/>
      <w:sz w:val="18"/>
      <w:szCs w:val="20"/>
    </w:rPr>
  </w:style>
  <w:style w:type="paragraph" w:customStyle="1" w:styleId="ROMANOS">
    <w:name w:val="ROMANOS"/>
    <w:basedOn w:val="Normal"/>
    <w:rsid w:val="00540418"/>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540418"/>
    <w:pPr>
      <w:spacing w:after="101" w:line="216" w:lineRule="exact"/>
      <w:ind w:left="1080" w:hanging="360"/>
      <w:jc w:val="both"/>
    </w:pPr>
    <w:rPr>
      <w:rFonts w:ascii="Arial" w:hAnsi="Arial" w:cs="Arial"/>
      <w:sz w:val="18"/>
      <w:szCs w:val="18"/>
    </w:rPr>
  </w:style>
  <w:style w:type="character" w:customStyle="1" w:styleId="TextoCar">
    <w:name w:val="Texto Car"/>
    <w:link w:val="Texto"/>
    <w:locked/>
    <w:rsid w:val="00540418"/>
    <w:rPr>
      <w:rFonts w:ascii="Arial" w:eastAsia="Times New Roman" w:hAnsi="Arial" w:cs="Arial"/>
      <w:sz w:val="18"/>
      <w:szCs w:val="20"/>
      <w:lang w:val="es-ES" w:eastAsia="es-ES"/>
    </w:rPr>
  </w:style>
  <w:style w:type="paragraph" w:styleId="Textodeglobo">
    <w:name w:val="Balloon Text"/>
    <w:basedOn w:val="Normal"/>
    <w:link w:val="TextodegloboCar"/>
    <w:uiPriority w:val="99"/>
    <w:semiHidden/>
    <w:unhideWhenUsed/>
    <w:rsid w:val="006E77DD"/>
    <w:rPr>
      <w:rFonts w:ascii="Tahoma" w:hAnsi="Tahoma" w:cs="Tahoma"/>
      <w:sz w:val="16"/>
      <w:szCs w:val="16"/>
    </w:rPr>
  </w:style>
  <w:style w:type="character" w:customStyle="1" w:styleId="TextodegloboCar">
    <w:name w:val="Texto de globo Car"/>
    <w:basedOn w:val="Fuentedeprrafopredeter"/>
    <w:link w:val="Textodeglobo"/>
    <w:uiPriority w:val="99"/>
    <w:semiHidden/>
    <w:rsid w:val="006E77DD"/>
    <w:rPr>
      <w:rFonts w:ascii="Tahoma" w:hAnsi="Tahoma" w:cs="Tahoma"/>
      <w:sz w:val="16"/>
      <w:szCs w:val="16"/>
    </w:rPr>
  </w:style>
  <w:style w:type="paragraph" w:styleId="Prrafodelista">
    <w:name w:val="List Paragraph"/>
    <w:basedOn w:val="Normal"/>
    <w:link w:val="PrrafodelistaCar"/>
    <w:uiPriority w:val="34"/>
    <w:qFormat/>
    <w:rsid w:val="0079582C"/>
    <w:pPr>
      <w:ind w:left="720"/>
      <w:contextualSpacing/>
    </w:pPr>
  </w:style>
  <w:style w:type="paragraph" w:styleId="Textoindependiente">
    <w:name w:val="Body Text"/>
    <w:basedOn w:val="Normal"/>
    <w:link w:val="TextoindependienteCar"/>
    <w:uiPriority w:val="99"/>
    <w:unhideWhenUsed/>
    <w:rsid w:val="00661772"/>
    <w:pPr>
      <w:spacing w:after="120"/>
    </w:pPr>
  </w:style>
  <w:style w:type="character" w:customStyle="1" w:styleId="TextoindependienteCar">
    <w:name w:val="Texto independiente Car"/>
    <w:basedOn w:val="Fuentedeprrafopredeter"/>
    <w:link w:val="Textoindependiente"/>
    <w:uiPriority w:val="99"/>
    <w:rsid w:val="00661772"/>
    <w:rPr>
      <w:rFonts w:ascii="Times New Roman" w:eastAsia="Times New Roman" w:hAnsi="Times New Roman" w:cs="Times New Roman"/>
      <w:sz w:val="24"/>
      <w:szCs w:val="24"/>
      <w:lang w:val="es-ES" w:eastAsia="es-ES"/>
    </w:rPr>
  </w:style>
  <w:style w:type="character" w:customStyle="1" w:styleId="PrrafodelistaCar">
    <w:name w:val="Párrafo de lista Car"/>
    <w:basedOn w:val="Fuentedeprrafopredeter"/>
    <w:link w:val="Prrafodelista"/>
    <w:uiPriority w:val="34"/>
    <w:locked/>
    <w:rsid w:val="00661772"/>
  </w:style>
  <w:style w:type="paragraph" w:customStyle="1" w:styleId="Default">
    <w:name w:val="Default"/>
    <w:rsid w:val="00620E8D"/>
    <w:pPr>
      <w:autoSpaceDE w:val="0"/>
      <w:autoSpaceDN w:val="0"/>
      <w:adjustRightInd w:val="0"/>
      <w:spacing w:after="0" w:line="240" w:lineRule="auto"/>
    </w:pPr>
    <w:rPr>
      <w:rFonts w:ascii="Arial" w:eastAsia="Calibri" w:hAnsi="Arial" w:cs="Arial"/>
      <w:color w:val="000000"/>
      <w:sz w:val="24"/>
      <w:szCs w:val="24"/>
      <w:lang w:eastAsia="es-MX"/>
    </w:rPr>
  </w:style>
  <w:style w:type="paragraph" w:styleId="Ttulo">
    <w:name w:val="Title"/>
    <w:basedOn w:val="Normal"/>
    <w:link w:val="TtuloCar"/>
    <w:uiPriority w:val="99"/>
    <w:qFormat/>
    <w:rsid w:val="00184B82"/>
    <w:pPr>
      <w:jc w:val="center"/>
    </w:pPr>
    <w:rPr>
      <w:rFonts w:ascii="Helvetica" w:hAnsi="Helvetica"/>
      <w:b/>
      <w:bCs/>
      <w:sz w:val="28"/>
    </w:rPr>
  </w:style>
  <w:style w:type="character" w:customStyle="1" w:styleId="TtuloCar">
    <w:name w:val="Título Car"/>
    <w:basedOn w:val="Fuentedeprrafopredeter"/>
    <w:link w:val="Ttulo"/>
    <w:uiPriority w:val="99"/>
    <w:rsid w:val="00184B82"/>
    <w:rPr>
      <w:rFonts w:ascii="Helvetica" w:eastAsia="Times New Roman" w:hAnsi="Helvetica" w:cs="Times New Roman"/>
      <w:b/>
      <w:bCs/>
      <w:sz w:val="28"/>
      <w:szCs w:val="24"/>
      <w:lang w:val="es-ES" w:eastAsia="es-ES"/>
    </w:rPr>
  </w:style>
  <w:style w:type="character" w:styleId="Hipervnculo">
    <w:name w:val="Hyperlink"/>
    <w:uiPriority w:val="99"/>
    <w:unhideWhenUsed/>
    <w:rsid w:val="009754F0"/>
    <w:rPr>
      <w:color w:val="0000FF"/>
      <w:u w:val="single"/>
    </w:rPr>
  </w:style>
  <w:style w:type="character" w:customStyle="1" w:styleId="estilo51">
    <w:name w:val="estilo51"/>
    <w:uiPriority w:val="99"/>
    <w:rsid w:val="009754F0"/>
    <w:rPr>
      <w:rFonts w:cs="Times New Roman"/>
      <w:sz w:val="54"/>
      <w:szCs w:val="5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53043">
      <w:bodyDiv w:val="1"/>
      <w:marLeft w:val="0"/>
      <w:marRight w:val="0"/>
      <w:marTop w:val="0"/>
      <w:marBottom w:val="0"/>
      <w:divBdr>
        <w:top w:val="none" w:sz="0" w:space="0" w:color="auto"/>
        <w:left w:val="none" w:sz="0" w:space="0" w:color="auto"/>
        <w:bottom w:val="none" w:sz="0" w:space="0" w:color="auto"/>
        <w:right w:val="none" w:sz="0" w:space="0" w:color="auto"/>
      </w:divBdr>
    </w:div>
    <w:div w:id="219827189">
      <w:bodyDiv w:val="1"/>
      <w:marLeft w:val="0"/>
      <w:marRight w:val="0"/>
      <w:marTop w:val="0"/>
      <w:marBottom w:val="0"/>
      <w:divBdr>
        <w:top w:val="none" w:sz="0" w:space="0" w:color="auto"/>
        <w:left w:val="none" w:sz="0" w:space="0" w:color="auto"/>
        <w:bottom w:val="none" w:sz="0" w:space="0" w:color="auto"/>
        <w:right w:val="none" w:sz="0" w:space="0" w:color="auto"/>
      </w:divBdr>
    </w:div>
    <w:div w:id="366613169">
      <w:bodyDiv w:val="1"/>
      <w:marLeft w:val="0"/>
      <w:marRight w:val="0"/>
      <w:marTop w:val="0"/>
      <w:marBottom w:val="0"/>
      <w:divBdr>
        <w:top w:val="none" w:sz="0" w:space="0" w:color="auto"/>
        <w:left w:val="none" w:sz="0" w:space="0" w:color="auto"/>
        <w:bottom w:val="none" w:sz="0" w:space="0" w:color="auto"/>
        <w:right w:val="none" w:sz="0" w:space="0" w:color="auto"/>
      </w:divBdr>
    </w:div>
    <w:div w:id="380596349">
      <w:bodyDiv w:val="1"/>
      <w:marLeft w:val="0"/>
      <w:marRight w:val="0"/>
      <w:marTop w:val="0"/>
      <w:marBottom w:val="0"/>
      <w:divBdr>
        <w:top w:val="none" w:sz="0" w:space="0" w:color="auto"/>
        <w:left w:val="none" w:sz="0" w:space="0" w:color="auto"/>
        <w:bottom w:val="none" w:sz="0" w:space="0" w:color="auto"/>
        <w:right w:val="none" w:sz="0" w:space="0" w:color="auto"/>
      </w:divBdr>
    </w:div>
    <w:div w:id="434446091">
      <w:bodyDiv w:val="1"/>
      <w:marLeft w:val="0"/>
      <w:marRight w:val="0"/>
      <w:marTop w:val="0"/>
      <w:marBottom w:val="0"/>
      <w:divBdr>
        <w:top w:val="none" w:sz="0" w:space="0" w:color="auto"/>
        <w:left w:val="none" w:sz="0" w:space="0" w:color="auto"/>
        <w:bottom w:val="none" w:sz="0" w:space="0" w:color="auto"/>
        <w:right w:val="none" w:sz="0" w:space="0" w:color="auto"/>
      </w:divBdr>
    </w:div>
    <w:div w:id="552077821">
      <w:bodyDiv w:val="1"/>
      <w:marLeft w:val="0"/>
      <w:marRight w:val="0"/>
      <w:marTop w:val="0"/>
      <w:marBottom w:val="0"/>
      <w:divBdr>
        <w:top w:val="none" w:sz="0" w:space="0" w:color="auto"/>
        <w:left w:val="none" w:sz="0" w:space="0" w:color="auto"/>
        <w:bottom w:val="none" w:sz="0" w:space="0" w:color="auto"/>
        <w:right w:val="none" w:sz="0" w:space="0" w:color="auto"/>
      </w:divBdr>
    </w:div>
    <w:div w:id="572931809">
      <w:bodyDiv w:val="1"/>
      <w:marLeft w:val="0"/>
      <w:marRight w:val="0"/>
      <w:marTop w:val="0"/>
      <w:marBottom w:val="0"/>
      <w:divBdr>
        <w:top w:val="none" w:sz="0" w:space="0" w:color="auto"/>
        <w:left w:val="none" w:sz="0" w:space="0" w:color="auto"/>
        <w:bottom w:val="none" w:sz="0" w:space="0" w:color="auto"/>
        <w:right w:val="none" w:sz="0" w:space="0" w:color="auto"/>
      </w:divBdr>
    </w:div>
    <w:div w:id="579027968">
      <w:bodyDiv w:val="1"/>
      <w:marLeft w:val="0"/>
      <w:marRight w:val="0"/>
      <w:marTop w:val="0"/>
      <w:marBottom w:val="0"/>
      <w:divBdr>
        <w:top w:val="none" w:sz="0" w:space="0" w:color="auto"/>
        <w:left w:val="none" w:sz="0" w:space="0" w:color="auto"/>
        <w:bottom w:val="none" w:sz="0" w:space="0" w:color="auto"/>
        <w:right w:val="none" w:sz="0" w:space="0" w:color="auto"/>
      </w:divBdr>
    </w:div>
    <w:div w:id="679744444">
      <w:bodyDiv w:val="1"/>
      <w:marLeft w:val="0"/>
      <w:marRight w:val="0"/>
      <w:marTop w:val="0"/>
      <w:marBottom w:val="0"/>
      <w:divBdr>
        <w:top w:val="none" w:sz="0" w:space="0" w:color="auto"/>
        <w:left w:val="none" w:sz="0" w:space="0" w:color="auto"/>
        <w:bottom w:val="none" w:sz="0" w:space="0" w:color="auto"/>
        <w:right w:val="none" w:sz="0" w:space="0" w:color="auto"/>
      </w:divBdr>
    </w:div>
    <w:div w:id="778988432">
      <w:bodyDiv w:val="1"/>
      <w:marLeft w:val="0"/>
      <w:marRight w:val="0"/>
      <w:marTop w:val="0"/>
      <w:marBottom w:val="0"/>
      <w:divBdr>
        <w:top w:val="none" w:sz="0" w:space="0" w:color="auto"/>
        <w:left w:val="none" w:sz="0" w:space="0" w:color="auto"/>
        <w:bottom w:val="none" w:sz="0" w:space="0" w:color="auto"/>
        <w:right w:val="none" w:sz="0" w:space="0" w:color="auto"/>
      </w:divBdr>
    </w:div>
    <w:div w:id="1780683762">
      <w:bodyDiv w:val="1"/>
      <w:marLeft w:val="0"/>
      <w:marRight w:val="0"/>
      <w:marTop w:val="0"/>
      <w:marBottom w:val="0"/>
      <w:divBdr>
        <w:top w:val="none" w:sz="0" w:space="0" w:color="auto"/>
        <w:left w:val="none" w:sz="0" w:space="0" w:color="auto"/>
        <w:bottom w:val="none" w:sz="0" w:space="0" w:color="auto"/>
        <w:right w:val="none" w:sz="0" w:space="0" w:color="auto"/>
      </w:divBdr>
    </w:div>
    <w:div w:id="2008290909">
      <w:bodyDiv w:val="1"/>
      <w:marLeft w:val="0"/>
      <w:marRight w:val="0"/>
      <w:marTop w:val="0"/>
      <w:marBottom w:val="0"/>
      <w:divBdr>
        <w:top w:val="none" w:sz="0" w:space="0" w:color="auto"/>
        <w:left w:val="none" w:sz="0" w:space="0" w:color="auto"/>
        <w:bottom w:val="none" w:sz="0" w:space="0" w:color="auto"/>
        <w:right w:val="none" w:sz="0" w:space="0" w:color="auto"/>
      </w:divBdr>
    </w:div>
    <w:div w:id="2078042625">
      <w:bodyDiv w:val="1"/>
      <w:marLeft w:val="0"/>
      <w:marRight w:val="0"/>
      <w:marTop w:val="0"/>
      <w:marBottom w:val="0"/>
      <w:divBdr>
        <w:top w:val="none" w:sz="0" w:space="0" w:color="auto"/>
        <w:left w:val="none" w:sz="0" w:space="0" w:color="auto"/>
        <w:bottom w:val="none" w:sz="0" w:space="0" w:color="auto"/>
        <w:right w:val="none" w:sz="0" w:space="0" w:color="auto"/>
      </w:divBdr>
    </w:div>
    <w:div w:id="2124492976">
      <w:bodyDiv w:val="1"/>
      <w:marLeft w:val="0"/>
      <w:marRight w:val="0"/>
      <w:marTop w:val="0"/>
      <w:marBottom w:val="0"/>
      <w:divBdr>
        <w:top w:val="none" w:sz="0" w:space="0" w:color="auto"/>
        <w:left w:val="none" w:sz="0" w:space="0" w:color="auto"/>
        <w:bottom w:val="none" w:sz="0" w:space="0" w:color="auto"/>
        <w:right w:val="none" w:sz="0" w:space="0" w:color="auto"/>
      </w:divBdr>
    </w:div>
    <w:div w:id="2128769930">
      <w:bodyDiv w:val="1"/>
      <w:marLeft w:val="0"/>
      <w:marRight w:val="0"/>
      <w:marTop w:val="0"/>
      <w:marBottom w:val="0"/>
      <w:divBdr>
        <w:top w:val="none" w:sz="0" w:space="0" w:color="auto"/>
        <w:left w:val="none" w:sz="0" w:space="0" w:color="auto"/>
        <w:bottom w:val="none" w:sz="0" w:space="0" w:color="auto"/>
        <w:right w:val="none" w:sz="0" w:space="0" w:color="auto"/>
      </w:divBdr>
    </w:div>
    <w:div w:id="213621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fsgto.gob.mx/lquiroz/AppData/Local/Microsoft/Windows/Temporary%20Internet%20Files/Content.Outlook/HBGSO9P3/MODELO%20CTA%202013.ppt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81A12-EEEB-4692-BC9B-E3EFA7986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3203</Words>
  <Characters>17622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Secretaria de Hacienda y Credito Publico</Company>
  <LinksUpToDate>false</LinksUpToDate>
  <CharactersWithSpaces>20784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alfonso_chavez</dc:creator>
  <cp:lastModifiedBy>Zurisaday Alexa Campos Gasca</cp:lastModifiedBy>
  <cp:revision>8</cp:revision>
  <cp:lastPrinted>2025-07-10T22:16:00Z</cp:lastPrinted>
  <dcterms:created xsi:type="dcterms:W3CDTF">2025-04-15T23:25:00Z</dcterms:created>
  <dcterms:modified xsi:type="dcterms:W3CDTF">2025-07-10T22:17:00Z</dcterms:modified>
</cp:coreProperties>
</file>