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w:t>
      </w:r>
      <w:r>
        <w:lastRenderedPageBreak/>
        <w:t xml:space="preserve">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w:t>
      </w:r>
      <w:r>
        <w:lastRenderedPageBreak/>
        <w:t xml:space="preserve">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lastRenderedPageBreak/>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3DC23996" w14:textId="77777777" w:rsidR="00E35579" w:rsidRDefault="00E35579" w:rsidP="00E35579">
      <w:pPr>
        <w:pStyle w:val="BodyText"/>
        <w:spacing w:line="360" w:lineRule="auto"/>
        <w:ind w:left="540" w:right="332" w:firstLine="470"/>
        <w:jc w:val="both"/>
      </w:pPr>
      <w:r>
        <w:t xml:space="preserve">This chapter starts with the experimentation phase, where five FL frameworks are evaluated focusing on key aspects such as ease of use, flexibility and </w:t>
      </w:r>
      <w:proofErr w:type="spellStart"/>
      <w:r>
        <w:t>customisability</w:t>
      </w:r>
      <w:proofErr w:type="spellEnd"/>
      <w:r>
        <w:t xml:space="preserve"> and real-world applicability. Each aspect can be broken down as follows:</w:t>
      </w:r>
    </w:p>
    <w:p w14:paraId="5F2800B6" w14:textId="77777777" w:rsidR="00E35579" w:rsidRDefault="00E35579" w:rsidP="00E35579">
      <w:pPr>
        <w:pStyle w:val="BodyText"/>
        <w:numPr>
          <w:ilvl w:val="0"/>
          <w:numId w:val="2"/>
        </w:numPr>
        <w:spacing w:before="1" w:after="120"/>
        <w:ind w:left="896" w:right="539" w:hanging="357"/>
      </w:pPr>
      <w:r>
        <w:t xml:space="preserve">Ease of use: </w:t>
      </w:r>
    </w:p>
    <w:p w14:paraId="1CB0426D" w14:textId="77777777" w:rsidR="00E35579" w:rsidRDefault="00E35579" w:rsidP="00E35579">
      <w:pPr>
        <w:pStyle w:val="BodyText"/>
        <w:numPr>
          <w:ilvl w:val="0"/>
          <w:numId w:val="2"/>
        </w:numPr>
        <w:spacing w:before="1" w:after="120"/>
        <w:ind w:right="539"/>
      </w:pPr>
      <w:r w:rsidRPr="00105954">
        <w:t>Setup and Configuration: Evaluates the complexity of installing the framework.</w:t>
      </w:r>
    </w:p>
    <w:p w14:paraId="30F11030" w14:textId="77777777" w:rsidR="00E35579" w:rsidRPr="001F5799" w:rsidRDefault="00E35579" w:rsidP="00E35579">
      <w:pPr>
        <w:pStyle w:val="BodyText"/>
        <w:numPr>
          <w:ilvl w:val="0"/>
          <w:numId w:val="2"/>
        </w:numPr>
        <w:spacing w:before="1" w:after="120"/>
        <w:ind w:right="539"/>
      </w:pPr>
      <w:r w:rsidRPr="009747DA">
        <w:t>Examples and Tutorials: Assesses the quality of examples and tutorials available to help new users get started.</w:t>
      </w:r>
    </w:p>
    <w:p w14:paraId="2B06CAF2" w14:textId="77777777" w:rsidR="00E35579" w:rsidRDefault="00E35579" w:rsidP="00E35579">
      <w:pPr>
        <w:pStyle w:val="BodyText"/>
        <w:numPr>
          <w:ilvl w:val="0"/>
          <w:numId w:val="2"/>
        </w:numPr>
        <w:spacing w:before="1" w:after="120"/>
        <w:ind w:left="896" w:right="539" w:hanging="357"/>
      </w:pPr>
      <w:r>
        <w:lastRenderedPageBreak/>
        <w:t xml:space="preserve">Flexibility and </w:t>
      </w:r>
      <w:proofErr w:type="spellStart"/>
      <w:r>
        <w:t>customisability</w:t>
      </w:r>
      <w:proofErr w:type="spellEnd"/>
      <w:r>
        <w:t>:</w:t>
      </w:r>
    </w:p>
    <w:p w14:paraId="3EA460A9" w14:textId="77777777" w:rsidR="00E35579" w:rsidRDefault="00E35579" w:rsidP="00E35579">
      <w:pPr>
        <w:pStyle w:val="BodyText"/>
        <w:numPr>
          <w:ilvl w:val="0"/>
          <w:numId w:val="2"/>
        </w:numPr>
        <w:spacing w:before="1" w:after="120"/>
        <w:ind w:right="539"/>
      </w:pPr>
      <w:r w:rsidRPr="009747DA">
        <w:t>Custom Algorithm Implementation: Examines how algorithms can be implemented and integrated.</w:t>
      </w:r>
    </w:p>
    <w:p w14:paraId="431CF675" w14:textId="77777777" w:rsidR="00E35579" w:rsidRPr="001F5799" w:rsidRDefault="00E35579" w:rsidP="00E35579">
      <w:pPr>
        <w:pStyle w:val="BodyText"/>
        <w:numPr>
          <w:ilvl w:val="0"/>
          <w:numId w:val="2"/>
        </w:numPr>
        <w:spacing w:before="1" w:after="120"/>
        <w:ind w:right="539"/>
      </w:pPr>
      <w:r w:rsidRPr="009747DA">
        <w:t>Adaptability to Various Use Cases: Evaluates how the framework can adapt to different business domains and use cases.</w:t>
      </w:r>
    </w:p>
    <w:p w14:paraId="4927AFC9" w14:textId="77777777" w:rsidR="00E35579" w:rsidRDefault="00E35579" w:rsidP="00E35579">
      <w:pPr>
        <w:pStyle w:val="BodyText"/>
        <w:numPr>
          <w:ilvl w:val="0"/>
          <w:numId w:val="2"/>
        </w:numPr>
        <w:spacing w:before="1" w:after="120"/>
        <w:ind w:left="896" w:right="539" w:hanging="357"/>
      </w:pPr>
      <w:r>
        <w:t xml:space="preserve">Real-world applicability: </w:t>
      </w:r>
    </w:p>
    <w:p w14:paraId="128F7E3A" w14:textId="77777777" w:rsidR="00E35579" w:rsidRDefault="00E35579" w:rsidP="00E35579">
      <w:pPr>
        <w:pStyle w:val="BodyText"/>
        <w:numPr>
          <w:ilvl w:val="0"/>
          <w:numId w:val="2"/>
        </w:numPr>
        <w:spacing w:before="1" w:after="120"/>
        <w:ind w:right="539"/>
      </w:pPr>
      <w:r w:rsidRPr="007F5B67">
        <w:t>Industry Adoption: Assesses the level of adoption in industry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 xml:space="preserve">FATE repository has good structure (FATE, 2021) and clear documentation guiding the user through its directories, examples and tutorials. Active support via issues and discussions </w:t>
      </w:r>
      <w:r>
        <w:lastRenderedPageBreak/>
        <w:t>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w:t>
      </w:r>
      <w:r>
        <w:rPr>
          <w:i/>
          <w:iCs/>
        </w:rPr>
        <w:lastRenderedPageBreak/>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Heart Disease </w:t>
      </w:r>
      <w:r>
        <w:lastRenderedPageBreak/>
        <w:t>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r w:rsidRPr="005A689C">
        <w:rPr>
          <w:i/>
          <w:iCs/>
        </w:rPr>
        <w:t>tff.learning</w:t>
      </w:r>
      <w:proofErr w:type="spell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r w:rsidRPr="005A689C">
        <w:rPr>
          <w:i/>
          <w:iCs/>
        </w:rPr>
        <w:t>tf.keras</w:t>
      </w:r>
      <w:proofErr w:type="spell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w:t>
      </w:r>
      <w:r w:rsidRPr="00496DDD">
        <w:lastRenderedPageBreak/>
        <w:t xml:space="preserve">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2F8AD61D" w14:textId="77777777" w:rsidR="00123D4C" w:rsidRDefault="00123D4C" w:rsidP="00123D4C">
      <w:pPr>
        <w:pStyle w:val="BodyText"/>
        <w:spacing w:line="360" w:lineRule="auto"/>
        <w:ind w:left="540" w:right="332" w:firstLine="470"/>
        <w:jc w:val="both"/>
      </w:pPr>
      <w:r>
        <w:t xml:space="preserve">This chapter evaluates five popular FL frameworks: </w:t>
      </w:r>
      <w:proofErr w:type="spellStart"/>
      <w:r>
        <w:t>PySyft</w:t>
      </w:r>
      <w:proofErr w:type="spellEnd"/>
      <w:r>
        <w:t xml:space="preserve">, FATE, Flower, </w:t>
      </w:r>
      <w:proofErr w:type="spellStart"/>
      <w:r>
        <w:t>FedML</w:t>
      </w:r>
      <w:proofErr w:type="spellEnd"/>
      <w:r>
        <w:t>, and TFF, focusing on ease of use, flexibility, customizability, and real-world applicability.</w:t>
      </w:r>
    </w:p>
    <w:p w14:paraId="7C44E8BA" w14:textId="77777777" w:rsidR="00123D4C" w:rsidRDefault="00123D4C" w:rsidP="00123D4C">
      <w:pPr>
        <w:pStyle w:val="BodyText"/>
        <w:spacing w:line="360" w:lineRule="auto"/>
        <w:ind w:left="540" w:right="332" w:firstLine="470"/>
        <w:jc w:val="both"/>
      </w:pPr>
      <w:proofErr w:type="spellStart"/>
      <w:r>
        <w:t>PySyft</w:t>
      </w:r>
      <w:proofErr w:type="spellEnd"/>
      <w:r>
        <w:t xml:space="preserve"> and FATE are robust, especially in privacy-preserving machine learning, but are more suited for academic and research purposes, lacking true real-world FL scenarios. Flower and </w:t>
      </w:r>
      <w:proofErr w:type="spellStart"/>
      <w:r>
        <w:t>FedML</w:t>
      </w:r>
      <w:proofErr w:type="spellEnd"/>
      <w:r>
        <w:t xml:space="preserve"> are more aligned with practical applications, with Flower offering closer simulations of real FL scenarios and </w:t>
      </w:r>
      <w:proofErr w:type="spellStart"/>
      <w:r>
        <w:t>FedML</w:t>
      </w:r>
      <w:proofErr w:type="spellEnd"/>
      <w:r>
        <w:t xml:space="preserve"> being the most applicable to real-world settings due to its comprehensive tools and examples. TFF is highly robust for building and customizing FL algorithms but remains more academic-focused and less applicable to real-world scenarios. Overall, Flower and </w:t>
      </w:r>
      <w:proofErr w:type="spellStart"/>
      <w:r>
        <w:t>FedML</w:t>
      </w:r>
      <w:proofErr w:type="spellEnd"/>
      <w:r>
        <w:t xml:space="preserve"> stand out as the most suitable for real-world FL applications.</w:t>
      </w:r>
    </w:p>
    <w:p w14:paraId="72909401" w14:textId="77777777" w:rsidR="00123D4C" w:rsidRPr="003315B7" w:rsidRDefault="00123D4C" w:rsidP="00405E7C">
      <w:pPr>
        <w:pStyle w:val="BodyText"/>
        <w:spacing w:line="360" w:lineRule="auto"/>
        <w:ind w:left="540" w:right="332" w:firstLine="470"/>
        <w:jc w:val="both"/>
      </w:pPr>
    </w:p>
    <w:p w14:paraId="540783AA" w14:textId="77777777" w:rsidR="00485063" w:rsidRPr="00E0672D" w:rsidRDefault="00485063" w:rsidP="00464FE4">
      <w:pPr>
        <w:pStyle w:val="BodyText"/>
        <w:spacing w:line="360" w:lineRule="auto"/>
        <w:ind w:left="540" w:right="332" w:firstLine="470"/>
        <w:jc w:val="both"/>
      </w:pPr>
    </w:p>
    <w:p w14:paraId="59ADAA6C" w14:textId="77777777" w:rsidR="00464FE4" w:rsidRPr="00B13B97" w:rsidRDefault="00464FE4" w:rsidP="00707E42">
      <w:pPr>
        <w:pStyle w:val="BodyText"/>
        <w:spacing w:line="360" w:lineRule="auto"/>
        <w:ind w:left="540" w:right="332" w:firstLine="470"/>
        <w:jc w:val="both"/>
      </w:pP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474"/>
    <w:rsid w:val="000A7E77"/>
    <w:rsid w:val="000B06AD"/>
    <w:rsid w:val="000B3CD2"/>
    <w:rsid w:val="000C04DE"/>
    <w:rsid w:val="000E17BB"/>
    <w:rsid w:val="00123D4C"/>
    <w:rsid w:val="00131AB9"/>
    <w:rsid w:val="00142578"/>
    <w:rsid w:val="00166DD3"/>
    <w:rsid w:val="00173BB7"/>
    <w:rsid w:val="001A0569"/>
    <w:rsid w:val="001F7438"/>
    <w:rsid w:val="00206742"/>
    <w:rsid w:val="00245C05"/>
    <w:rsid w:val="00257970"/>
    <w:rsid w:val="002F12F9"/>
    <w:rsid w:val="003D1978"/>
    <w:rsid w:val="00405E7C"/>
    <w:rsid w:val="00430E6C"/>
    <w:rsid w:val="0044574A"/>
    <w:rsid w:val="00464FE4"/>
    <w:rsid w:val="00485063"/>
    <w:rsid w:val="004A1387"/>
    <w:rsid w:val="005007A4"/>
    <w:rsid w:val="00503D5E"/>
    <w:rsid w:val="00523515"/>
    <w:rsid w:val="00544831"/>
    <w:rsid w:val="00546013"/>
    <w:rsid w:val="005C052C"/>
    <w:rsid w:val="005F1EDF"/>
    <w:rsid w:val="00633FCD"/>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A7622"/>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A45B4"/>
    <w:rsid w:val="00DE381B"/>
    <w:rsid w:val="00E2294C"/>
    <w:rsid w:val="00E34C13"/>
    <w:rsid w:val="00E35579"/>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26</Pages>
  <Words>10019</Words>
  <Characters>57112</Characters>
  <Application>Microsoft Office Word</Application>
  <DocSecurity>0</DocSecurity>
  <Lines>475</Lines>
  <Paragraphs>133</Paragraphs>
  <ScaleCrop>false</ScaleCrop>
  <Company/>
  <LinksUpToDate>false</LinksUpToDate>
  <CharactersWithSpaces>66998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66</cp:revision>
  <dcterms:created xsi:type="dcterms:W3CDTF">2024-07-18T23:46:00Z</dcterms:created>
  <dcterms:modified xsi:type="dcterms:W3CDTF">2024-08-14T21:24:00Z</dcterms:modified>
</cp:coreProperties>
</file>