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w:t>
      </w:r>
      <w:proofErr w:type="gramStart"/>
      <w:r w:rsidRPr="003A2681">
        <w:t>architected</w:t>
      </w:r>
      <w:proofErr w:type="gramEnd"/>
      <w:r w:rsidRPr="003A2681">
        <w:t xml:space="preserve">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w:t>
      </w:r>
      <w:proofErr w:type="gramStart"/>
      <w:r>
        <w:t>deployment</w:t>
      </w:r>
      <w:proofErr w:type="gramEnd"/>
      <w:r>
        <w:t xml:space="preserve">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xml:space="preserve">, then deployed on AWS EC2. This reduces the cost </w:t>
      </w:r>
      <w:proofErr w:type="gramStart"/>
      <w:r>
        <w:t>in</w:t>
      </w:r>
      <w:proofErr w:type="gramEnd"/>
      <w:r>
        <w:t xml:space="preserve">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w:t>
      </w:r>
      <w:r w:rsidRPr="00AB606F">
        <w:lastRenderedPageBreak/>
        <w:t xml:space="preserve">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 xml:space="preserve">The frameworks selected are widely used and accepted by the FL community, </w:t>
      </w:r>
      <w:r w:rsidRPr="001F5799">
        <w:lastRenderedPageBreak/>
        <w:t>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 xml:space="preserve">RSNA Chest X-ray, MNIST, and </w:t>
      </w:r>
      <w:proofErr w:type="gramStart"/>
      <w:r w:rsidRPr="003E7E20">
        <w:t>a synthetic</w:t>
      </w:r>
      <w:proofErr w:type="gramEnd"/>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199623B9" w14:textId="4A6CE50F" w:rsidR="00B55C30" w:rsidRDefault="00B55C30" w:rsidP="00B55C30">
      <w:pPr>
        <w:pStyle w:val="BodyText"/>
        <w:spacing w:line="360" w:lineRule="auto"/>
        <w:ind w:left="540" w:right="332" w:firstLine="470"/>
        <w:jc w:val="both"/>
      </w:pPr>
      <w:r>
        <w:t xml:space="preserve">This chapter starts with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xml:space="preserve">, including how to load </w:t>
      </w:r>
      <w:r w:rsidRPr="006B6997">
        <w:lastRenderedPageBreak/>
        <w:t>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w:t>
      </w:r>
      <w:r w:rsidRPr="00B86572">
        <w:lastRenderedPageBreak/>
        <w:t>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lastRenderedPageBreak/>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w:t>
      </w:r>
      <w:r>
        <w:lastRenderedPageBreak/>
        <w:t>(TensorFlow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w:t>
      </w:r>
      <w:r w:rsidRPr="00B20486">
        <w:lastRenderedPageBreak/>
        <w:t>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w:t>
      </w:r>
      <w:proofErr w:type="gramStart"/>
      <w:r>
        <w:t>the model</w:t>
      </w:r>
      <w:proofErr w:type="gramEnd"/>
      <w:r>
        <w:t xml:space="preserve">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 xml:space="preserve">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w:t>
      </w:r>
      <w:r w:rsidRPr="00F866A4">
        <w:lastRenderedPageBreak/>
        <w:t>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w:t>
      </w:r>
      <w:proofErr w:type="gramStart"/>
      <w:r w:rsidRPr="00480400">
        <w:t>prepare</w:t>
      </w:r>
      <w:proofErr w:type="gramEnd"/>
      <w:r w:rsidRPr="00480400">
        <w:t xml:space="preserv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w:t>
      </w:r>
      <w:proofErr w:type="gramStart"/>
      <w:r>
        <w:lastRenderedPageBreak/>
        <w:t>The CNN</w:t>
      </w:r>
      <w:proofErr w:type="gramEnd"/>
      <w:r>
        <w:t xml:space="preserve">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lastRenderedPageBreak/>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0C7152E4"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proofErr w:type="gramStart"/>
      <w:r w:rsidR="008B5635">
        <w:t>and</w:t>
      </w:r>
      <w:r w:rsidRPr="00275857">
        <w:t xml:space="preserve"> </w:t>
      </w:r>
      <w:r>
        <w:t xml:space="preserve"> using</w:t>
      </w:r>
      <w:proofErr w:type="gramEnd"/>
      <w:r>
        <w:t xml:space="preserve"> IID and non-IID data. In sections below the results are presented for the technological and medical scenarios under both IID and non-IID variants.</w:t>
      </w:r>
    </w:p>
    <w:p w14:paraId="73B442E4" w14:textId="77777777" w:rsidR="007A48FD" w:rsidRDefault="007A48FD" w:rsidP="007A48FD">
      <w:pPr>
        <w:pStyle w:val="BodyText"/>
        <w:spacing w:line="360" w:lineRule="auto"/>
        <w:ind w:left="540" w:right="332" w:firstLine="470"/>
        <w:jc w:val="both"/>
      </w:pPr>
      <w:r w:rsidRPr="00BC33CD">
        <w:lastRenderedPageBreak/>
        <w:t>The synthetic data generated for this scenario followed a normal distribution for the seven features, and the target variable was equally balanced across its two categories for the IID variant</w:t>
      </w:r>
      <w:r>
        <w:t>, as shown in Figure 7.1. Shapiro tests were conducted for feature generation, and with an alpha (</w:t>
      </w:r>
      <w:r w:rsidRPr="00A0796F">
        <w:t>α</w:t>
      </w:r>
      <w:r>
        <w:t>) of 5%, the null hypothesis (H0) was accepted. This situation is unlikely to occur in real-life scenarios.</w:t>
      </w:r>
    </w:p>
    <w:p w14:paraId="20D6C377" w14:textId="77777777" w:rsidR="00B54A07" w:rsidRDefault="00B54A07" w:rsidP="00B54A07">
      <w:pPr>
        <w:pStyle w:val="BodyText"/>
        <w:spacing w:line="360" w:lineRule="auto"/>
        <w:ind w:left="540" w:right="332" w:firstLine="470"/>
        <w:jc w:val="both"/>
      </w:pPr>
      <w:r w:rsidRPr="00C73A9A">
        <w:t xml:space="preserve">In contrast, the non-IID data was not normally distributed, and its target variable was unbalanced, as described in Figure 7.2. </w:t>
      </w:r>
      <w:r>
        <w:t xml:space="preserve">Shapiro tests were conducted for feature generation, with </w:t>
      </w:r>
      <w:r w:rsidRPr="00A0796F">
        <w:t>α</w:t>
      </w:r>
      <w:r>
        <w:t xml:space="preserve"> = 5%, </w:t>
      </w:r>
      <w:proofErr w:type="gramStart"/>
      <w:r>
        <w:t>resulted</w:t>
      </w:r>
      <w:proofErr w:type="gramEnd"/>
      <w:r>
        <w:t xml:space="preserve"> in the rejection H0.</w:t>
      </w:r>
      <w:r w:rsidRPr="00C73A9A">
        <w:t xml:space="preserve"> This scenario is likely to occur in real-life situations.</w:t>
      </w:r>
    </w:p>
    <w:p w14:paraId="2DF03880" w14:textId="77777777" w:rsidR="007A48FD" w:rsidRPr="00250E78" w:rsidRDefault="007A48FD" w:rsidP="00D16907">
      <w:pPr>
        <w:pStyle w:val="BodyText"/>
        <w:spacing w:line="360" w:lineRule="auto"/>
        <w:ind w:left="540" w:right="332" w:firstLine="470"/>
        <w:jc w:val="both"/>
      </w:pPr>
    </w:p>
    <w:p w14:paraId="3CE0F830" w14:textId="77777777" w:rsidR="00D16907" w:rsidRDefault="00D16907" w:rsidP="00CF25AE">
      <w:pPr>
        <w:pStyle w:val="BodyText"/>
        <w:spacing w:line="360" w:lineRule="auto"/>
        <w:ind w:left="540" w:right="332" w:firstLine="470"/>
        <w:jc w:val="both"/>
      </w:pPr>
    </w:p>
    <w:p w14:paraId="551BF709" w14:textId="77777777" w:rsidR="001512AA" w:rsidRPr="00500BF8" w:rsidRDefault="001512AA" w:rsidP="00CF25AE">
      <w:pPr>
        <w:pStyle w:val="BodyText"/>
        <w:spacing w:line="360" w:lineRule="auto"/>
        <w:ind w:left="540" w:right="332" w:firstLine="470"/>
        <w:jc w:val="both"/>
      </w:pPr>
    </w:p>
    <w:p w14:paraId="29A59942" w14:textId="77777777" w:rsidR="001848F7" w:rsidRPr="006B4DF5" w:rsidRDefault="001848F7" w:rsidP="00121391">
      <w:pPr>
        <w:pStyle w:val="BodyText"/>
        <w:spacing w:line="360" w:lineRule="auto"/>
        <w:ind w:left="540" w:right="332" w:firstLine="470"/>
        <w:jc w:val="both"/>
      </w:pPr>
    </w:p>
    <w:p w14:paraId="68B99553" w14:textId="77777777" w:rsidR="00121391" w:rsidRPr="004D7485" w:rsidRDefault="00121391" w:rsidP="00AA2D41">
      <w:pPr>
        <w:pStyle w:val="BodyText"/>
        <w:spacing w:line="360" w:lineRule="auto"/>
        <w:ind w:left="540" w:right="332" w:firstLine="470"/>
        <w:jc w:val="both"/>
      </w:pPr>
    </w:p>
    <w:p w14:paraId="0395E2E7" w14:textId="77777777" w:rsidR="001123AE" w:rsidRPr="00B01E28" w:rsidRDefault="001123AE" w:rsidP="008A6567">
      <w:pPr>
        <w:pStyle w:val="BodyText"/>
        <w:spacing w:line="360" w:lineRule="auto"/>
        <w:ind w:left="540" w:right="332" w:firstLine="470"/>
        <w:jc w:val="both"/>
      </w:pPr>
    </w:p>
    <w:p w14:paraId="0856D069" w14:textId="77777777" w:rsidR="008A6567" w:rsidRPr="00146A24" w:rsidRDefault="008A6567" w:rsidP="002764A4">
      <w:pPr>
        <w:pStyle w:val="BodyText"/>
        <w:spacing w:line="360" w:lineRule="auto"/>
        <w:ind w:left="540" w:right="332" w:firstLine="470"/>
        <w:jc w:val="both"/>
      </w:pPr>
    </w:p>
    <w:p w14:paraId="37E2C671" w14:textId="77777777" w:rsidR="002764A4" w:rsidRPr="003F7AEB" w:rsidRDefault="002764A4" w:rsidP="00F414AC">
      <w:pPr>
        <w:pStyle w:val="BodyText"/>
        <w:spacing w:line="360" w:lineRule="auto"/>
        <w:ind w:left="540" w:right="332" w:firstLine="470"/>
        <w:jc w:val="both"/>
      </w:pPr>
    </w:p>
    <w:sectPr w:rsidR="002764A4" w:rsidRPr="003F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512AA"/>
    <w:rsid w:val="00166DD3"/>
    <w:rsid w:val="00173BB7"/>
    <w:rsid w:val="001848F7"/>
    <w:rsid w:val="001A0569"/>
    <w:rsid w:val="001C692B"/>
    <w:rsid w:val="001F7438"/>
    <w:rsid w:val="00206742"/>
    <w:rsid w:val="00245C05"/>
    <w:rsid w:val="00257970"/>
    <w:rsid w:val="00260B7B"/>
    <w:rsid w:val="002764A4"/>
    <w:rsid w:val="002E714B"/>
    <w:rsid w:val="002F12F9"/>
    <w:rsid w:val="00373576"/>
    <w:rsid w:val="003A5EBE"/>
    <w:rsid w:val="003D1978"/>
    <w:rsid w:val="003F70E7"/>
    <w:rsid w:val="00405E7C"/>
    <w:rsid w:val="00430E6C"/>
    <w:rsid w:val="0044574A"/>
    <w:rsid w:val="00456E51"/>
    <w:rsid w:val="00464FE4"/>
    <w:rsid w:val="00485063"/>
    <w:rsid w:val="004A1387"/>
    <w:rsid w:val="005007A4"/>
    <w:rsid w:val="00503D5E"/>
    <w:rsid w:val="00523515"/>
    <w:rsid w:val="00544831"/>
    <w:rsid w:val="00546013"/>
    <w:rsid w:val="005C052C"/>
    <w:rsid w:val="005E1034"/>
    <w:rsid w:val="005F1EDF"/>
    <w:rsid w:val="00633FCD"/>
    <w:rsid w:val="006C6303"/>
    <w:rsid w:val="006F64DD"/>
    <w:rsid w:val="00707E42"/>
    <w:rsid w:val="0073329A"/>
    <w:rsid w:val="00745422"/>
    <w:rsid w:val="00753692"/>
    <w:rsid w:val="00786277"/>
    <w:rsid w:val="007A0AA4"/>
    <w:rsid w:val="007A48FD"/>
    <w:rsid w:val="0085371A"/>
    <w:rsid w:val="008A6567"/>
    <w:rsid w:val="008B5635"/>
    <w:rsid w:val="008D060D"/>
    <w:rsid w:val="00942437"/>
    <w:rsid w:val="009530E1"/>
    <w:rsid w:val="00986109"/>
    <w:rsid w:val="00997A80"/>
    <w:rsid w:val="009A3A34"/>
    <w:rsid w:val="009C0398"/>
    <w:rsid w:val="00A020CC"/>
    <w:rsid w:val="00A37922"/>
    <w:rsid w:val="00A8449B"/>
    <w:rsid w:val="00A94F7D"/>
    <w:rsid w:val="00A95F9C"/>
    <w:rsid w:val="00AA218F"/>
    <w:rsid w:val="00AA2D41"/>
    <w:rsid w:val="00AB02EF"/>
    <w:rsid w:val="00B0110F"/>
    <w:rsid w:val="00B101CA"/>
    <w:rsid w:val="00B12376"/>
    <w:rsid w:val="00B54A07"/>
    <w:rsid w:val="00B55C30"/>
    <w:rsid w:val="00B72601"/>
    <w:rsid w:val="00B95B51"/>
    <w:rsid w:val="00BA7622"/>
    <w:rsid w:val="00BB45CE"/>
    <w:rsid w:val="00BD08A3"/>
    <w:rsid w:val="00BD155A"/>
    <w:rsid w:val="00C0107F"/>
    <w:rsid w:val="00C11B98"/>
    <w:rsid w:val="00C4149D"/>
    <w:rsid w:val="00C42D83"/>
    <w:rsid w:val="00C50A70"/>
    <w:rsid w:val="00C9362D"/>
    <w:rsid w:val="00CC475D"/>
    <w:rsid w:val="00CE3558"/>
    <w:rsid w:val="00CF25AE"/>
    <w:rsid w:val="00CF350A"/>
    <w:rsid w:val="00CF7A0D"/>
    <w:rsid w:val="00D053B4"/>
    <w:rsid w:val="00D06352"/>
    <w:rsid w:val="00D16907"/>
    <w:rsid w:val="00D22A8F"/>
    <w:rsid w:val="00D33F8D"/>
    <w:rsid w:val="00D43707"/>
    <w:rsid w:val="00D94A46"/>
    <w:rsid w:val="00D97EB8"/>
    <w:rsid w:val="00DA45B4"/>
    <w:rsid w:val="00DE381B"/>
    <w:rsid w:val="00E2294C"/>
    <w:rsid w:val="00E27FEA"/>
    <w:rsid w:val="00E34C13"/>
    <w:rsid w:val="00E35579"/>
    <w:rsid w:val="00E3559F"/>
    <w:rsid w:val="00E46996"/>
    <w:rsid w:val="00E5044D"/>
    <w:rsid w:val="00E73720"/>
    <w:rsid w:val="00E75C03"/>
    <w:rsid w:val="00EB4C76"/>
    <w:rsid w:val="00EC03D0"/>
    <w:rsid w:val="00EC6A84"/>
    <w:rsid w:val="00EF5FFE"/>
    <w:rsid w:val="00F00165"/>
    <w:rsid w:val="00F414AC"/>
    <w:rsid w:val="00F41A81"/>
    <w:rsid w:val="00F44367"/>
    <w:rsid w:val="00F91B81"/>
    <w:rsid w:val="00F93A02"/>
    <w:rsid w:val="00F97170"/>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29</Pages>
  <Words>11816</Words>
  <Characters>67352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103</cp:revision>
  <dcterms:created xsi:type="dcterms:W3CDTF">2024-07-18T23:46:00Z</dcterms:created>
  <dcterms:modified xsi:type="dcterms:W3CDTF">2024-09-02T18:44:00Z</dcterms:modified>
</cp:coreProperties>
</file>