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 xml:space="preserve">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0AC0E583" w14:textId="4CBE05EE" w:rsidR="00FF3B7B" w:rsidRDefault="00FF3B7B" w:rsidP="00D94A46">
      <w:pPr>
        <w:pStyle w:val="BodyText"/>
        <w:spacing w:before="1" w:line="360" w:lineRule="auto"/>
        <w:ind w:left="539" w:right="335" w:firstLine="471"/>
      </w:pPr>
      <w:r w:rsidRPr="00FF3B7B">
        <w:t xml:space="preserve">The primary research methodology for this project was experimentation. The goal was to bridge the gap between popular FL frameworks and real-world FL use cases by developing </w:t>
      </w:r>
      <w:proofErr w:type="gramStart"/>
      <w:r w:rsidRPr="00FF3B7B">
        <w:t>a FL</w:t>
      </w:r>
      <w:proofErr w:type="gramEnd"/>
      <w:r w:rsidRPr="00FF3B7B">
        <w:t xml:space="preserve"> server. Once developed, the FL server simulated how a real-world FL system would function in practice. The methodology framework was divided into three stages: evaluation, development, and results. Figure 4.1 provides a structured overview of the research methodology.</w:t>
      </w:r>
    </w:p>
    <w:p w14:paraId="2DE76CDB" w14:textId="77777777" w:rsidR="004856A3" w:rsidRDefault="004856A3" w:rsidP="004856A3">
      <w:pPr>
        <w:pStyle w:val="BodyText"/>
        <w:spacing w:before="1" w:line="360" w:lineRule="auto"/>
        <w:ind w:left="539" w:right="335" w:firstLine="471"/>
      </w:pPr>
      <w:r>
        <w:t xml:space="preserve">The first part of the experimentation, the evaluation stage, involved the experimentation and evaluation of popular FL frameworks. At this stage, the first population of interest, FL frameworks, was identified, with the sample consisting of </w:t>
      </w:r>
      <w:proofErr w:type="spellStart"/>
      <w:r>
        <w:t>PySyft</w:t>
      </w:r>
      <w:proofErr w:type="spellEnd"/>
      <w:r>
        <w:t xml:space="preserve">, FATE, Flower, </w:t>
      </w:r>
      <w:proofErr w:type="spellStart"/>
      <w:r>
        <w:t>FedML</w:t>
      </w:r>
      <w:proofErr w:type="spellEnd"/>
      <w:r>
        <w:t xml:space="preserve"> and TFF. The method for selecting the FL sample is explained in Section 3.1, and the evaluation of these frameworks will be detailed in Section 5. Essentially, it involved reviewing the documentation and tutorials provided through their GitHub accounts, with a focus on two key aspects: ease of use and real-world applicability. This evaluation served as the foundation for the development of the FL server.</w:t>
      </w:r>
    </w:p>
    <w:p w14:paraId="65ECE26A" w14:textId="2247CBAD" w:rsidR="002F3C42" w:rsidRDefault="004856A3" w:rsidP="004856A3">
      <w:pPr>
        <w:pStyle w:val="BodyText"/>
        <w:spacing w:before="1" w:line="360" w:lineRule="auto"/>
        <w:ind w:left="539" w:right="335" w:firstLine="471"/>
      </w:pPr>
      <w:r>
        <w:t>The second part of the experimentation focused on the development of the FL server. At this stage, two populations were identified: companies and FL datasets. The company samples were categorized into technological and medical sectors, while the FL datasets included X-ray and MNIST datasets for the medical scenario, and tabular synthetic data generated for the technological scenario. These secondary datasets were used to model a binary classification problem in the technological scenario and an image classification problem in the medical scenario.</w:t>
      </w:r>
    </w:p>
    <w:p w14:paraId="13DAA9D0" w14:textId="512F4715" w:rsidR="00223B4C" w:rsidRDefault="00C034D2" w:rsidP="004856A3">
      <w:pPr>
        <w:pStyle w:val="BodyText"/>
        <w:spacing w:before="1" w:line="360" w:lineRule="auto"/>
        <w:ind w:left="539" w:right="335" w:firstLine="471"/>
      </w:pPr>
      <w:r w:rsidRPr="00C034D2">
        <w:t>The final stage of the experimentation presented the results of the primary research. Within this stage, a validation substage was included to validate the FL server. To achieve this, the data distribution was adjusted to include both IID and non-IID variants for each scenario.</w:t>
      </w:r>
    </w:p>
    <w:p w14:paraId="13915A92" w14:textId="59045743" w:rsidR="00E4745E" w:rsidRDefault="00E4745E" w:rsidP="004856A3">
      <w:pPr>
        <w:pStyle w:val="BodyText"/>
        <w:spacing w:before="1" w:line="360" w:lineRule="auto"/>
        <w:ind w:left="539" w:right="335" w:firstLine="471"/>
      </w:pPr>
      <w:r w:rsidRPr="00E4745E">
        <w:lastRenderedPageBreak/>
        <w:t>The sampling strategy used for this project consisted of the non-probabilistic method and the judgmental sampling type. The populations and their respective samples identified throughout this research are presented in Table 4.2.</w:t>
      </w:r>
    </w:p>
    <w:p w14:paraId="199623B9" w14:textId="4A6CE50F" w:rsidR="00B55C30" w:rsidRDefault="00B55C30" w:rsidP="00B55C30">
      <w:pPr>
        <w:pStyle w:val="BodyText"/>
        <w:spacing w:line="360" w:lineRule="auto"/>
        <w:ind w:left="540" w:right="332" w:firstLine="470"/>
        <w:jc w:val="both"/>
      </w:pPr>
      <w:r w:rsidRPr="002F3C42">
        <w:rPr>
          <w:highlight w:val="yellow"/>
        </w:rPr>
        <w:t>This chapter starts with</w:t>
      </w:r>
      <w:r>
        <w:t xml:space="preserve">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xml:space="preserve">. The remaining JNs cover customizing policies for data access, handling multiple </w:t>
      </w:r>
      <w:r w:rsidRPr="006B6997">
        <w:lastRenderedPageBreak/>
        <w:t>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w:t>
      </w:r>
      <w:r w:rsidRPr="00B86572">
        <w:lastRenderedPageBreak/>
        <w:t>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lastRenderedPageBreak/>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lastRenderedPageBreak/>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lastRenderedPageBreak/>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 xml:space="preserve">A logic was implemented to refresh the server, as hitting the reload page every time was not an option. The refresh function sets a flag indicating that the server state requires </w:t>
      </w:r>
      <w:r w:rsidRPr="00F866A4">
        <w:lastRenderedPageBreak/>
        <w:t>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w:t>
      </w:r>
      <w:r>
        <w:lastRenderedPageBreak/>
        <w:t xml:space="preserve">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w:t>
      </w:r>
      <w:r w:rsidRPr="00665DB1">
        <w:lastRenderedPageBreak/>
        <w:t>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lastRenderedPageBreak/>
        <w:t xml:space="preserve">In contrast, the non-IID data was not normally distributed, and its target variable was 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lastRenderedPageBreak/>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This chapter presented interesting results. For the IID variants, none of them improved 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 xml:space="preserve">A third limitation concerns the type of data. In the technological scenario, tabular data was used, while in the medical scenario, images were involved. Dedicating a specific FL </w:t>
      </w:r>
      <w:r w:rsidRPr="006356C1">
        <w:lastRenderedPageBreak/>
        <w:t>server to handle only one type of data may optimize performance metrics.</w:t>
      </w:r>
    </w:p>
    <w:p w14:paraId="42784FAC" w14:textId="77777777" w:rsidR="00A72247" w:rsidRPr="006356C1"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5AA9EC5F" w14:textId="77777777" w:rsidR="00A72247" w:rsidRPr="00AA7314" w:rsidRDefault="00A72247" w:rsidP="00B11384">
      <w:pPr>
        <w:pStyle w:val="BodyText"/>
        <w:suppressAutoHyphens/>
        <w:spacing w:line="360" w:lineRule="auto"/>
        <w:ind w:left="540" w:right="332" w:firstLine="470"/>
        <w:jc w:val="both"/>
      </w:pPr>
    </w:p>
    <w:p w14:paraId="0656B052" w14:textId="77777777" w:rsidR="00B11384" w:rsidRPr="00886BA1" w:rsidRDefault="00B11384" w:rsidP="0016402F">
      <w:pPr>
        <w:pStyle w:val="BodyText"/>
        <w:spacing w:line="360" w:lineRule="auto"/>
        <w:ind w:left="540" w:right="332" w:firstLine="470"/>
        <w:jc w:val="both"/>
      </w:pPr>
    </w:p>
    <w:p w14:paraId="080DB77B" w14:textId="77777777" w:rsidR="0016402F" w:rsidRDefault="0016402F" w:rsidP="00B7661C">
      <w:pPr>
        <w:pStyle w:val="BodyText"/>
        <w:spacing w:line="360" w:lineRule="auto"/>
        <w:ind w:left="540" w:right="332" w:firstLine="470"/>
        <w:jc w:val="both"/>
      </w:pPr>
    </w:p>
    <w:p w14:paraId="08D34573" w14:textId="77777777" w:rsidR="00B7661C" w:rsidRPr="00A5075B" w:rsidRDefault="00B7661C" w:rsidP="00B845B1">
      <w:pPr>
        <w:pStyle w:val="BodyText"/>
        <w:spacing w:line="360" w:lineRule="auto"/>
        <w:ind w:left="540" w:right="332" w:firstLine="470"/>
        <w:jc w:val="both"/>
      </w:pPr>
    </w:p>
    <w:p w14:paraId="3A1B0423" w14:textId="2208D741" w:rsidR="005A73EA" w:rsidRDefault="005A73EA" w:rsidP="005A73EA">
      <w:pPr>
        <w:pStyle w:val="BodyText"/>
        <w:spacing w:line="360" w:lineRule="auto"/>
        <w:ind w:left="540" w:right="332" w:firstLine="470"/>
        <w:jc w:val="both"/>
      </w:pPr>
    </w:p>
    <w:p w14:paraId="7CBB1FFA" w14:textId="77777777" w:rsidR="00392613" w:rsidRDefault="00392613" w:rsidP="00C54C05">
      <w:pPr>
        <w:pStyle w:val="BodyText"/>
        <w:spacing w:line="360" w:lineRule="auto"/>
        <w:ind w:left="540" w:right="332" w:firstLine="470"/>
        <w:jc w:val="both"/>
      </w:pP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23B4C"/>
    <w:rsid w:val="00245C05"/>
    <w:rsid w:val="00257970"/>
    <w:rsid w:val="00260B7B"/>
    <w:rsid w:val="002764A4"/>
    <w:rsid w:val="002E714B"/>
    <w:rsid w:val="002F12F9"/>
    <w:rsid w:val="002F3C42"/>
    <w:rsid w:val="00373576"/>
    <w:rsid w:val="00392613"/>
    <w:rsid w:val="003A5EBE"/>
    <w:rsid w:val="003D1978"/>
    <w:rsid w:val="003F11B8"/>
    <w:rsid w:val="003F70E7"/>
    <w:rsid w:val="00405E7C"/>
    <w:rsid w:val="00430E6C"/>
    <w:rsid w:val="0044574A"/>
    <w:rsid w:val="00456E51"/>
    <w:rsid w:val="00464FE4"/>
    <w:rsid w:val="00485063"/>
    <w:rsid w:val="004856A3"/>
    <w:rsid w:val="004A1387"/>
    <w:rsid w:val="005007A4"/>
    <w:rsid w:val="00503D5E"/>
    <w:rsid w:val="00523515"/>
    <w:rsid w:val="00544831"/>
    <w:rsid w:val="00546013"/>
    <w:rsid w:val="005A73EA"/>
    <w:rsid w:val="005C052C"/>
    <w:rsid w:val="005E1034"/>
    <w:rsid w:val="005F02F6"/>
    <w:rsid w:val="005F1EDF"/>
    <w:rsid w:val="00633FCD"/>
    <w:rsid w:val="006C6303"/>
    <w:rsid w:val="006F07AB"/>
    <w:rsid w:val="006F64DD"/>
    <w:rsid w:val="00707E42"/>
    <w:rsid w:val="0073329A"/>
    <w:rsid w:val="00745422"/>
    <w:rsid w:val="00753692"/>
    <w:rsid w:val="00786277"/>
    <w:rsid w:val="007A0AA4"/>
    <w:rsid w:val="007A48FD"/>
    <w:rsid w:val="0085371A"/>
    <w:rsid w:val="008A6567"/>
    <w:rsid w:val="008B5635"/>
    <w:rsid w:val="008D060D"/>
    <w:rsid w:val="00942437"/>
    <w:rsid w:val="009530E1"/>
    <w:rsid w:val="00986109"/>
    <w:rsid w:val="00997A80"/>
    <w:rsid w:val="009A3A34"/>
    <w:rsid w:val="009C0398"/>
    <w:rsid w:val="00A020CC"/>
    <w:rsid w:val="00A37922"/>
    <w:rsid w:val="00A72247"/>
    <w:rsid w:val="00A77DD5"/>
    <w:rsid w:val="00A8449B"/>
    <w:rsid w:val="00A94F7D"/>
    <w:rsid w:val="00A95F9C"/>
    <w:rsid w:val="00AA218F"/>
    <w:rsid w:val="00AA2D41"/>
    <w:rsid w:val="00AB02EF"/>
    <w:rsid w:val="00B0110F"/>
    <w:rsid w:val="00B101CA"/>
    <w:rsid w:val="00B11384"/>
    <w:rsid w:val="00B12376"/>
    <w:rsid w:val="00B54A07"/>
    <w:rsid w:val="00B55C30"/>
    <w:rsid w:val="00B72601"/>
    <w:rsid w:val="00B7661C"/>
    <w:rsid w:val="00B845B1"/>
    <w:rsid w:val="00B95B51"/>
    <w:rsid w:val="00BA7622"/>
    <w:rsid w:val="00BB45CE"/>
    <w:rsid w:val="00BD08A3"/>
    <w:rsid w:val="00BD155A"/>
    <w:rsid w:val="00C0107F"/>
    <w:rsid w:val="00C034D2"/>
    <w:rsid w:val="00C11B98"/>
    <w:rsid w:val="00C21D9C"/>
    <w:rsid w:val="00C4149D"/>
    <w:rsid w:val="00C42D83"/>
    <w:rsid w:val="00C50A70"/>
    <w:rsid w:val="00C54C05"/>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4745E"/>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 w:val="00FF3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32</Pages>
  <Words>12942</Words>
  <Characters>73772</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119</cp:revision>
  <dcterms:created xsi:type="dcterms:W3CDTF">2024-07-18T23:46:00Z</dcterms:created>
  <dcterms:modified xsi:type="dcterms:W3CDTF">2024-09-07T22:14:00Z</dcterms:modified>
</cp:coreProperties>
</file>