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Override ContentType="application/vnd.openxmlformats-officedocument.wordprocessingml.footer+xml" PartName="/word/footer3.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ne="http://schemas.microsoft.com/office/word/2006/wordml" xmlns:wpg="http://schemas.microsoft.com/office/word/2010/wordprocessingGroup" xmlns:wps="http://schemas.microsoft.com/office/word/2010/wordprocessingShape" mc:Ignorable="w14 w15 w16se w16cid w16 w16cex w16sdtdh wp14">
  <w:body>
    <w:p w14:paraId="697E8AFD">
      <w:pPr>
        <w:spacing w:before="1200"/>
      </w:pPr>
    </w:p>
    <w:p w14:paraId="1B45DA8D">
      <w:pPr>
        <w:spacing w:after="120"/>
        <w:jc w:val="center"/>
      </w:pPr>
      <w:r>
        <w:rPr>
          <w:rFonts w:ascii="Arial" w:hAnsi="Arial" w:eastAsia="Arial" w:cs="Arial"/>
          <w:b/>
          <w:bCs/>
          <w:color w:val="000000"/>
          <w:sz w:val="28"/>
          <w:szCs w:val="28"/>
        </w:rPr>
        <w:t>UNIVERSIDAD DEL MAGDALENA</w:t>
      </w:r>
    </w:p>
    <w:p w14:paraId="0117EDE6">
      <w:pPr>
        <w:spacing w:after="120"/>
        <w:jc w:val="center"/>
      </w:pPr>
      <w:r>
        <w:rPr>
          <w:rFonts w:ascii="Arial" w:hAnsi="Arial" w:eastAsia="Arial" w:cs="Arial"/>
          <w:color w:val="000000"/>
          <w:sz w:val="24"/>
          <w:szCs w:val="24"/>
        </w:rPr>
        <w:t>Facultad de Ingeniería</w:t>
      </w:r>
    </w:p>
    <w:p w14:paraId="58A5A085">
      <w:pPr>
        <w:spacing w:after="1400"/>
        <w:jc w:val="center"/>
      </w:pPr>
      <w:r>
        <w:rPr>
          <w:rFonts w:ascii="Arial" w:hAnsi="Arial" w:eastAsia="Arial" w:cs="Arial"/>
          <w:color w:val="000000"/>
          <w:sz w:val="24"/>
          <w:szCs w:val="24"/>
        </w:rPr>
        <w:t>Programa de Ingeniería de Sistemas</w:t>
      </w:r>
    </w:p>
    <w:p w14:paraId="368400DD">
      <w:pPr>
        <w:spacing w:after="120"/>
        <w:jc w:val="center"/>
      </w:pPr>
      <w:r>
        <w:rPr>
          <w:rFonts w:ascii="Arial" w:hAnsi="Arial" w:eastAsia="Arial" w:cs="Arial"/>
          <w:b/>
          <w:bCs/>
          <w:color w:val="000000"/>
          <w:sz w:val="28"/>
          <w:szCs w:val="28"/>
        </w:rPr>
        <w:t>TALLER EN CLASE – ARQUITECTURA POR CAPAS</w:t>
      </w:r>
    </w:p>
    <w:p w14:paraId="4768FD52">
      <w:pPr>
        <w:spacing w:after="120"/>
        <w:jc w:val="center"/>
      </w:pPr>
      <w:r>
        <w:rPr>
          <w:rFonts w:ascii="Arial" w:hAnsi="Arial" w:eastAsia="Arial" w:cs="Arial"/>
          <w:b/>
          <w:bCs/>
          <w:color w:val="000000"/>
          <w:sz w:val="26"/>
          <w:szCs w:val="26"/>
        </w:rPr>
        <w:t>Sistema de Gestión de Parqueadero</w:t>
      </w:r>
    </w:p>
    <w:p w14:paraId="4AE94B75">
      <w:pPr>
        <w:spacing w:after="1600"/>
        <w:jc w:val="center"/>
      </w:pPr>
      <w:r>
        <w:rPr>
          <w:rFonts w:ascii="Arial" w:hAnsi="Arial" w:eastAsia="Arial" w:cs="Arial"/>
          <w:color w:val="000000"/>
          <w:sz w:val="24"/>
          <w:szCs w:val="24"/>
        </w:rPr>
        <w:t>Documento de diseño</w:t>
      </w:r>
    </w:p>
    <w:p w14:paraId="1A7BC02F">
      <w:pPr>
        <w:spacing w:after="120"/>
        <w:jc w:val="center"/>
      </w:pPr>
      <w:r>
        <w:rPr>
          <w:rFonts w:ascii="Arial" w:hAnsi="Arial" w:eastAsia="Arial" w:cs="Arial"/>
          <w:b/>
          <w:bCs/>
          <w:color w:val="000000"/>
          <w:sz w:val="24"/>
          <w:szCs w:val="24"/>
        </w:rPr>
        <w:t>Integrantes</w:t>
      </w:r>
    </w:p>
    <w:p w14:paraId="7D44205A">
      <w:pPr>
        <w:spacing w:after="120"/>
        <w:jc w:val="center"/>
      </w:pPr>
      <w:r>
        <w:rPr>
          <w:rFonts w:ascii="Arial" w:hAnsi="Arial" w:eastAsia="Arial" w:cs="Arial"/>
          <w:color w:val="000000"/>
          <w:sz w:val="24"/>
          <w:szCs w:val="24"/>
        </w:rPr>
        <w:t>Jose Alejandro Rodríguez Rincones – 2023114029</w:t>
      </w:r>
    </w:p>
    <w:p w14:paraId="4E9E7952">
      <w:pPr>
        <w:spacing w:after="600"/>
        <w:jc w:val="center"/>
      </w:pPr>
      <w:r>
        <w:rPr>
          <w:rFonts w:ascii="Arial" w:hAnsi="Arial" w:eastAsia="Arial" w:cs="Arial"/>
          <w:color w:val="000000"/>
          <w:sz w:val="24"/>
          <w:szCs w:val="24"/>
        </w:rPr>
        <w:t>Laura Sofía Perez Hernandez – 2023114022</w:t>
      </w:r>
    </w:p>
    <w:p w14:paraId="65F39BAB">
      <w:pPr>
        <w:spacing w:after="120"/>
        <w:jc w:val="center"/>
      </w:pPr>
      <w:r>
        <w:rPr>
          <w:rFonts w:ascii="Arial" w:hAnsi="Arial" w:eastAsia="Arial" w:cs="Arial"/>
          <w:b/>
          <w:bCs/>
          <w:color w:val="000000"/>
          <w:sz w:val="24"/>
          <w:szCs w:val="24"/>
        </w:rPr>
        <w:t>Docente</w:t>
      </w:r>
    </w:p>
    <w:p w14:paraId="55DA81FC">
      <w:pPr>
        <w:spacing w:after="1600"/>
        <w:jc w:val="center"/>
      </w:pPr>
      <w:r>
        <w:rPr>
          <w:rFonts w:ascii="Montserrat" w:cs="Montserrat"/>
          <w:sz w:val="23"/>
          <w:szCs w:val="23"/>
        </w:rPr>
        <w:t>Carlos</w:t>
      </w:r>
      <w:r>
        <w:rPr>
          <w:rFonts w:ascii="Montserrat" w:cs="Montserrat"/>
          <w:sz w:val="23"/>
          <w:szCs w:val="23"/>
          <w:u w:val="single"/>
        </w:rPr>
        <w:t xml:space="preserve"> </w:t>
      </w:r>
      <w:r>
        <w:rPr>
          <w:rFonts w:ascii="Montserrat" w:cs="Montserrat"/>
          <w:sz w:val="23"/>
          <w:szCs w:val="23"/>
        </w:rPr>
        <w:t>Nelson Henriquez Miranda</w:t>
      </w:r>
    </w:p>
    <w:p w14:paraId="65214BA9">
      <w:pPr>
        <w:spacing w:after="120"/>
        <w:jc w:val="center"/>
      </w:pPr>
      <w:r>
        <w:rPr>
          <w:rFonts w:ascii="Arial" w:hAnsi="Arial" w:eastAsia="Arial" w:cs="Arial"/>
          <w:color w:val="000000"/>
          <w:sz w:val="24"/>
          <w:szCs w:val="24"/>
        </w:rPr>
        <w:t>Santa Marta, septiembre de 2026</w:t>
      </w:r>
    </w:p>
    <w:p w14:paraId="43C268E5">
      <w:pPr>
        <w:pageBreakBefore/>
      </w:pPr>
      <w:r>
        <w:lastRenderedPageBreak/>
      </w:r>
    </w:p>
    <w:p w14:paraId="08D7E55C">
      <w:pPr>
        <w:spacing w:after="240"/>
      </w:pPr>
      <w:r>
        <w:rPr>
          <w:rFonts w:ascii="Arial" w:hAnsi="Arial" w:eastAsia="Arial" w:cs="Arial"/>
          <w:b/>
          <w:bCs/>
          <w:color w:val="000000"/>
          <w:sz w:val="28"/>
          <w:szCs w:val="28"/>
        </w:rPr>
        <w:t>CONTENIDO</w:t>
      </w:r>
    </w:p>
    <w:sdt>
      <w:sdtPr>
        <w:alias w:val="Contenido"/>
      </w:sdtPr>
      <w:sdtContent>
        <w:p w14:paraId="0AAE1783"/>
        <w:p w14:paraId="430B8382">
          <w:r/>
        </w:p>
      </w:sdtContent>
    </w:sdt>
    <w:p w14:paraId="087EBF83">
      <w:pPr>
        <w:pageBreakBefore/>
      </w:pPr>
      <w:r>
        <w:lastRenderedPageBreak/>
      </w:r>
    </w:p>
    <w:p w14:paraId="4654BF19">
      <w:pPr>
        <w:pStyle w:val="Heading1"/>
      </w:pPr>
      <w:r>
        <w:rPr>
          <w:rFonts w:ascii="Arial" w:hAnsi="Arial" w:eastAsia="Arial" w:cs="Arial"/>
          <w:b/>
          <w:bCs/>
          <w:color w:val="000000"/>
          <w:sz w:val="28"/>
          <w:szCs w:val="28"/>
        </w:rPr>
        <w:t>1. Introducción</w:t>
      </w:r>
    </w:p>
    <w:p w14:paraId="2E9F7EC1">
      <w:pPr>
        <w:spacing w:after="120" w:line="276"/>
        <w:jc w:val="both"/>
      </w:pPr>
      <w:r>
        <w:rPr>
          <w:rFonts w:ascii="Arial" w:hAnsi="Arial" w:eastAsia="Arial" w:cs="Arial"/>
          <w:color w:val="000000"/>
          <w:sz w:val="22"/>
          <w:szCs w:val="22"/>
        </w:rPr>
        <w:t>Este documento presenta el diseño de un sistema de software para la gestión de un parqueadero, desarrollado como parte del taller de arquitectura por capas. Recoge las decisiones tomadas durante el proceso de diseño inicial: la identificación de stakeholders y actores, las reglas de negocio, el modelo de casos de uso, el ciclo de vida de una estadía y la gestión de pagos, el modelo de clases y la arquitectura por capas, junto con el alcance del prototipo.</w:t>
      </w:r>
    </w:p>
    <w:p w14:paraId="0F3588CF">
      <w:pPr>
        <w:spacing w:after="120" w:line="276"/>
        <w:jc w:val="both"/>
      </w:pPr>
      <w:r>
        <w:rPr>
          <w:rFonts w:ascii="Arial" w:hAnsi="Arial" w:eastAsia="Arial" w:cs="Arial"/>
          <w:color w:val="000000"/>
          <w:sz w:val="22"/>
          <w:szCs w:val="22"/>
        </w:rPr>
        <w:t>El criterio que guía todo el diseño es que el sistema debe adaptarse a los cambios previstos por el negocio (actualización anual de tarifas e incorporación de nuevos tipos de vehículo) sin necesidad de modificar el código fuente.</w:t>
      </w:r>
    </w:p>
    <w:p w14:paraId="570145EC">
      <w:pPr>
        <w:pStyle w:val="Heading1"/>
      </w:pPr>
      <w:r>
        <w:rPr>
          <w:rFonts w:ascii="Arial" w:hAnsi="Arial" w:eastAsia="Arial" w:cs="Arial"/>
          <w:b/>
          <w:bCs/>
          <w:color w:val="000000"/>
          <w:sz w:val="28"/>
          <w:szCs w:val="28"/>
        </w:rPr>
        <w:t>2. Contexto del problema</w:t>
      </w:r>
    </w:p>
    <w:p w14:paraId="14F8DC99">
      <w:pPr>
        <w:spacing w:after="120" w:line="276"/>
        <w:jc w:val="both"/>
      </w:pPr>
      <w:r>
        <w:rPr>
          <w:rFonts w:ascii="Arial" w:hAnsi="Arial" w:eastAsia="Arial" w:cs="Arial"/>
          <w:color w:val="000000"/>
          <w:sz w:val="22"/>
          <w:szCs w:val="22"/>
        </w:rPr>
        <w:t>Un parqueadero requiere un sistema de software para gestionar el ingreso, la permanencia y el pago de los vehículos. Actualmente se manejan las siguientes tarifas por hora de parqueadero:</w:t>
      </w:r>
    </w:p>
    <w:tbl>
      <w:tblPr>
        <w:tblW w:w="9360" w:type="dxa"/>
        <w:tblBorders>
          <w:top w:val="single" w:sz="4" w:color="auto"/>
          <w:left w:val="single" w:sz="4" w:color="auto"/>
          <w:bottom w:val="single" w:sz="4" w:color="auto"/>
          <w:right w:val="single" w:sz="4" w:color="auto"/>
          <w:insideH w:val="single" w:sz="4" w:color="auto"/>
          <w:insideV w:val="single" w:sz="4" w:color="auto"/>
        </w:tblBorders>
      </w:tblPr>
      <w:tblGrid>
        <w:gridCol w:w="4680"/>
        <w:gridCol w:w="4680"/>
      </w:tblGrid>
      <w:tr>
        <w:trPr>
          <w:tblHeader/>
        </w:trPr>
        <w:tc>
          <w:tcPr>
            <w:tcW w:w="4680" w:type="dxa"/>
            <w:tcBorders>
              <w:top w:val="single" w:sz="4" w:color="000000"/>
              <w:left w:val="single" w:sz="4" w:color="000000"/>
              <w:bottom w:val="single" w:sz="4" w:color="000000"/>
              <w:right w:val="single" w:sz="4" w:color="000000"/>
            </w:tcBorders>
            <w:tcMar>
              <w:top w:w="60" w:type="dxa"/>
              <w:left w:w="100" w:type="dxa"/>
              <w:bottom w:w="60" w:type="dxa"/>
              <w:right w:w="100" w:type="dxa"/>
            </w:tcMar>
            <w:vAlign w:val="center"/>
          </w:tcPr>
          <w:p w14:paraId="29A11ED4">
            <w:pPr>
              <w:spacing w:after="0" w:line="264"/>
            </w:pPr>
            <w:r>
              <w:rPr>
                <w:rFonts w:ascii="Arial" w:hAnsi="Arial" w:eastAsia="Arial" w:cs="Arial"/>
                <w:b/>
                <w:bCs/>
                <w:color w:val="000000"/>
                <w:sz w:val="22"/>
                <w:szCs w:val="22"/>
              </w:rPr>
              <w:t>Tipo de vehículo</w:t>
            </w:r>
          </w:p>
        </w:tc>
        <w:tc>
          <w:tcPr>
            <w:tcW w:w="4680" w:type="dxa"/>
            <w:tcBorders>
              <w:top w:val="single" w:sz="4" w:color="000000"/>
              <w:left w:val="single" w:sz="4" w:color="000000"/>
              <w:bottom w:val="single" w:sz="4" w:color="000000"/>
              <w:right w:val="single" w:sz="4" w:color="000000"/>
            </w:tcBorders>
            <w:tcMar>
              <w:top w:w="60" w:type="dxa"/>
              <w:left w:w="100" w:type="dxa"/>
              <w:bottom w:w="60" w:type="dxa"/>
              <w:right w:w="100" w:type="dxa"/>
            </w:tcMar>
            <w:vAlign w:val="center"/>
          </w:tcPr>
          <w:p w14:paraId="26AA7E37">
            <w:pPr>
              <w:spacing w:after="0" w:line="264"/>
            </w:pPr>
            <w:r>
              <w:rPr>
                <w:rFonts w:ascii="Arial" w:hAnsi="Arial" w:eastAsia="Arial" w:cs="Arial"/>
                <w:b/>
                <w:bCs/>
                <w:color w:val="000000"/>
                <w:sz w:val="22"/>
                <w:szCs w:val="22"/>
              </w:rPr>
              <w:t>Tarifa por hora</w:t>
            </w:r>
          </w:p>
        </w:tc>
      </w:tr>
      <w:tr>
        <w:trPr>
          <w:cantSplit/>
        </w:trPr>
        <w:tc>
          <w:tcPr>
            <w:tcW w:w="4680" w:type="dxa"/>
            <w:tcBorders>
              <w:top w:val="single" w:sz="4" w:color="000000"/>
              <w:left w:val="single" w:sz="4" w:color="000000"/>
              <w:bottom w:val="single" w:sz="4" w:color="000000"/>
              <w:right w:val="single" w:sz="4" w:color="000000"/>
            </w:tcBorders>
            <w:tcMar>
              <w:top w:w="60" w:type="dxa"/>
              <w:left w:w="100" w:type="dxa"/>
              <w:bottom w:w="60" w:type="dxa"/>
              <w:right w:w="100" w:type="dxa"/>
            </w:tcMar>
            <w:vAlign w:val="center"/>
          </w:tcPr>
          <w:p w14:paraId="70DC97FE">
            <w:pPr>
              <w:spacing w:after="0" w:line="264"/>
            </w:pPr>
            <w:r>
              <w:rPr>
                <w:rFonts w:ascii="Arial" w:hAnsi="Arial" w:eastAsia="Arial" w:cs="Arial"/>
                <w:color w:val="000000"/>
                <w:sz w:val="22"/>
                <w:szCs w:val="22"/>
              </w:rPr>
              <w:t>Motocicleta</w:t>
            </w:r>
          </w:p>
        </w:tc>
        <w:tc>
          <w:tcPr>
            <w:tcW w:w="4680" w:type="dxa"/>
            <w:tcBorders>
              <w:top w:val="single" w:sz="4" w:color="000000"/>
              <w:left w:val="single" w:sz="4" w:color="000000"/>
              <w:bottom w:val="single" w:sz="4" w:color="000000"/>
              <w:right w:val="single" w:sz="4" w:color="000000"/>
            </w:tcBorders>
            <w:tcMar>
              <w:top w:w="60" w:type="dxa"/>
              <w:left w:w="100" w:type="dxa"/>
              <w:bottom w:w="60" w:type="dxa"/>
              <w:right w:w="100" w:type="dxa"/>
            </w:tcMar>
            <w:vAlign w:val="center"/>
          </w:tcPr>
          <w:p w14:paraId="1B89D99B">
            <w:pPr>
              <w:spacing w:after="0" w:line="264"/>
            </w:pPr>
            <w:r>
              <w:rPr>
                <w:rFonts w:ascii="Arial" w:hAnsi="Arial" w:eastAsia="Arial" w:cs="Arial"/>
                <w:color w:val="000000"/>
                <w:sz w:val="22"/>
                <w:szCs w:val="22"/>
              </w:rPr>
              <w:t>$800</w:t>
            </w:r>
          </w:p>
        </w:tc>
      </w:tr>
      <w:tr>
        <w:trPr>
          <w:cantSplit/>
        </w:trPr>
        <w:tc>
          <w:tcPr>
            <w:tcW w:w="4680" w:type="dxa"/>
            <w:tcBorders>
              <w:top w:val="single" w:sz="4" w:color="000000"/>
              <w:left w:val="single" w:sz="4" w:color="000000"/>
              <w:bottom w:val="single" w:sz="4" w:color="000000"/>
              <w:right w:val="single" w:sz="4" w:color="000000"/>
            </w:tcBorders>
            <w:tcMar>
              <w:top w:w="60" w:type="dxa"/>
              <w:left w:w="100" w:type="dxa"/>
              <w:bottom w:w="60" w:type="dxa"/>
              <w:right w:w="100" w:type="dxa"/>
            </w:tcMar>
            <w:vAlign w:val="center"/>
          </w:tcPr>
          <w:p w14:paraId="6525191C">
            <w:pPr>
              <w:spacing w:after="0" w:line="264"/>
            </w:pPr>
            <w:r>
              <w:rPr>
                <w:rFonts w:ascii="Arial" w:hAnsi="Arial" w:eastAsia="Arial" w:cs="Arial"/>
                <w:color w:val="000000"/>
                <w:sz w:val="22"/>
                <w:szCs w:val="22"/>
              </w:rPr>
              <w:t>Automóvil</w:t>
            </w:r>
          </w:p>
        </w:tc>
        <w:tc>
          <w:tcPr>
            <w:tcW w:w="4680" w:type="dxa"/>
            <w:tcBorders>
              <w:top w:val="single" w:sz="4" w:color="000000"/>
              <w:left w:val="single" w:sz="4" w:color="000000"/>
              <w:bottom w:val="single" w:sz="4" w:color="000000"/>
              <w:right w:val="single" w:sz="4" w:color="000000"/>
            </w:tcBorders>
            <w:tcMar>
              <w:top w:w="60" w:type="dxa"/>
              <w:left w:w="100" w:type="dxa"/>
              <w:bottom w:w="60" w:type="dxa"/>
              <w:right w:w="100" w:type="dxa"/>
            </w:tcMar>
            <w:vAlign w:val="center"/>
          </w:tcPr>
          <w:p w14:paraId="5E7BD740">
            <w:pPr>
              <w:spacing w:after="0" w:line="264"/>
            </w:pPr>
            <w:r>
              <w:rPr>
                <w:rFonts w:ascii="Arial" w:hAnsi="Arial" w:eastAsia="Arial" w:cs="Arial"/>
                <w:color w:val="000000"/>
                <w:sz w:val="22"/>
                <w:szCs w:val="22"/>
              </w:rPr>
              <w:t>$1.800</w:t>
            </w:r>
          </w:p>
        </w:tc>
      </w:tr>
    </w:tbl>
    <w:p w14:paraId="241EDA3E">
      <w:pPr>
        <w:spacing w:after="120"/>
      </w:pPr>
    </w:p>
    <w:p w14:paraId="44B0DB7D">
      <w:pPr>
        <w:spacing w:after="120" w:line="276"/>
        <w:jc w:val="both"/>
      </w:pPr>
      <w:r>
        <w:rPr>
          <w:rFonts w:ascii="Arial" w:hAnsi="Arial" w:eastAsia="Arial" w:cs="Arial"/>
          <w:color w:val="000000"/>
          <w:sz w:val="22"/>
          <w:szCs w:val="22"/>
        </w:rPr>
        <w:t>Las tarifas pueden cambiar cada año y el propietario podría incorporar nuevos tipos de vehículo en el futuro, por ejemplo, camionetas. El sistema debe permitir registrar el ingreso de un vehículo, consultar la información del parqueadero y calcular el valor a pagar según el tipo de vehículo y el tiempo de permanencia.</w:t>
      </w:r>
    </w:p>
    <w:p w14:paraId="0704C9CF">
      <w:pPr>
        <w:spacing w:after="120" w:line="276"/>
        <w:jc w:val="both"/>
      </w:pPr>
      <w:r>
        <w:rPr>
          <w:rFonts w:ascii="Arial" w:hAnsi="Arial" w:eastAsia="Arial" w:cs="Arial"/>
          <w:color w:val="000000"/>
          <w:sz w:val="22"/>
          <w:szCs w:val="22"/>
        </w:rPr>
        <w:t>El pago puede realizarse de dos formas:</w:t>
      </w:r>
    </w:p>
    <w:p w14:paraId="36AE43E9">
      <w:pPr>
        <w:pStyle w:val="ListParagraph"/>
        <w:numPr>
          <w:ilvl w:val="0"/>
          <w:numId w:val="2"/>
        </w:numPr>
        <w:spacing w:after="80" w:line="276"/>
        <w:ind w:left="720" w:hanging="360"/>
        <w:jc w:val="both"/>
      </w:pPr>
      <w:r>
        <w:rPr>
          <w:rFonts w:ascii="Arial" w:hAnsi="Arial" w:eastAsia="Arial" w:cs="Arial"/>
          <w:b/>
          <w:bCs/>
          <w:color w:val="000000"/>
          <w:sz w:val="22"/>
          <w:szCs w:val="22"/>
        </w:rPr>
        <w:t xml:space="preserve">Por el usuario: </w:t>
      </w:r>
      <w:r>
        <w:rPr>
          <w:rFonts w:ascii="Arial" w:hAnsi="Arial" w:eastAsia="Arial" w:cs="Arial"/>
          <w:color w:val="000000"/>
          <w:sz w:val="22"/>
          <w:szCs w:val="22"/>
        </w:rPr>
        <w:t>el cliente consulta el valor y realiza el pago mediante el software.</w:t>
      </w:r>
    </w:p>
    <w:p w14:paraId="651B8DA8">
      <w:pPr>
        <w:pStyle w:val="ListParagraph"/>
        <w:numPr>
          <w:ilvl w:val="0"/>
          <w:numId w:val="2"/>
        </w:numPr>
        <w:spacing w:after="80" w:line="276"/>
        <w:ind w:left="720" w:hanging="360"/>
        <w:jc w:val="both"/>
      </w:pPr>
      <w:r>
        <w:rPr>
          <w:rFonts w:ascii="Arial" w:hAnsi="Arial" w:eastAsia="Arial" w:cs="Arial"/>
          <w:b/>
          <w:bCs/>
          <w:color w:val="000000"/>
          <w:sz w:val="22"/>
          <w:szCs w:val="22"/>
        </w:rPr>
        <w:t xml:space="preserve">Por el personal del parqueadero: </w:t>
      </w:r>
      <w:r>
        <w:rPr>
          <w:rFonts w:ascii="Arial" w:hAnsi="Arial" w:eastAsia="Arial" w:cs="Arial"/>
          <w:color w:val="000000"/>
          <w:sz w:val="22"/>
          <w:szCs w:val="22"/>
        </w:rPr>
        <w:t>un empleado registra el pago directamente en el sistema.</w:t>
      </w:r>
    </w:p>
    <w:p w14:paraId="3ED479DA">
      <w:pPr>
        <w:spacing w:after="120" w:line="276"/>
        <w:jc w:val="both"/>
      </w:pPr>
      <w:r>
        <w:rPr>
          <w:rFonts w:ascii="Arial" w:hAnsi="Arial" w:eastAsia="Arial" w:cs="Arial"/>
          <w:color w:val="000000"/>
          <w:sz w:val="22"/>
          <w:szCs w:val="22"/>
        </w:rPr>
        <w:t>La solución debe utilizar una arquitectura de software por capas.</w:t>
      </w:r>
    </w:p>
    <w:p w14:paraId="73E5314F">
      <w:pPr>
        <w:pStyle w:val="Heading1"/>
      </w:pPr>
      <w:r>
        <w:rPr>
          <w:rFonts w:ascii="Arial" w:hAnsi="Arial" w:eastAsia="Arial" w:cs="Arial"/>
          <w:b/>
          <w:bCs/>
          <w:color w:val="000000"/>
          <w:sz w:val="28"/>
          <w:szCs w:val="28"/>
        </w:rPr>
        <w:t>3. Stakeholders y actores</w:t>
      </w:r>
    </w:p>
    <w:p w14:paraId="4C8A5D02">
      <w:pPr>
        <w:spacing w:after="120" w:line="276"/>
        <w:jc w:val="both"/>
      </w:pPr>
      <w:r>
        <w:rPr>
          <w:rFonts w:ascii="Arial" w:hAnsi="Arial" w:eastAsia="Arial" w:cs="Arial"/>
          <w:color w:val="000000"/>
          <w:sz w:val="22"/>
          <w:szCs w:val="22"/>
        </w:rPr>
        <w:t>Se distingue entre stakeholder y actor. Un stakeholder es cualquier persona u organización con interés o influencia sobre el sistema, lo use o no. Un actor, en el sentido de UML, es quien interactúa directamente con el software. Todo actor es stakeholder, pero no todo stakeholder es actor: los stakeholders que no son actores se traducen en restricciones o requisitos del diseño.</w:t>
      </w:r>
    </w:p>
    <w:p w14:paraId="009EFE7F">
      <w:pPr>
        <w:pStyle w:val="Heading2"/>
      </w:pPr>
      <w:r>
        <w:rPr>
          <w:rFonts w:ascii="Arial" w:hAnsi="Arial" w:eastAsia="Arial" w:cs="Arial"/>
          <w:b/>
          <w:bCs/>
          <w:color w:val="000000"/>
          <w:sz w:val="24"/>
          <w:szCs w:val="24"/>
        </w:rPr>
        <w:t>3.1 Stakeholders</w:t>
      </w:r>
    </w:p>
    <w:tbl>
      <w:tblPr>
        <w:tblW w:w="9360" w:type="dxa"/>
        <w:tblBorders>
          <w:top w:val="single" w:sz="4" w:color="auto"/>
          <w:left w:val="single" w:sz="4" w:color="auto"/>
          <w:bottom w:val="single" w:sz="4" w:color="auto"/>
          <w:right w:val="single" w:sz="4" w:color="auto"/>
          <w:insideH w:val="single" w:sz="4" w:color="auto"/>
          <w:insideV w:val="single" w:sz="4" w:color="auto"/>
        </w:tblBorders>
      </w:tblPr>
      <w:tblGrid>
        <w:gridCol w:w="2200"/>
        <w:gridCol w:w="1500"/>
        <w:gridCol w:w="2000"/>
        <w:gridCol w:w="3660"/>
      </w:tblGrid>
      <w:tr>
        <w:trPr>
          <w:tblHeader/>
        </w:trPr>
        <w:tc>
          <w:tcPr>
            <w:tcW w:w="2200" w:type="dxa"/>
            <w:tcBorders>
              <w:top w:val="single" w:sz="4" w:color="000000"/>
              <w:left w:val="single" w:sz="4" w:color="000000"/>
              <w:bottom w:val="single" w:sz="4" w:color="000000"/>
              <w:right w:val="single" w:sz="4" w:color="000000"/>
            </w:tcBorders>
            <w:tcMar>
              <w:top w:w="60" w:type="dxa"/>
              <w:left w:w="100" w:type="dxa"/>
              <w:bottom w:w="60" w:type="dxa"/>
              <w:right w:w="100" w:type="dxa"/>
            </w:tcMar>
            <w:vAlign w:val="center"/>
          </w:tcPr>
          <w:p w14:paraId="0C673980">
            <w:pPr>
              <w:spacing w:after="0" w:line="264"/>
            </w:pPr>
            <w:r>
              <w:rPr>
                <w:rFonts w:ascii="Arial" w:hAnsi="Arial" w:eastAsia="Arial" w:cs="Arial"/>
                <w:b/>
                <w:bCs/>
                <w:color w:val="000000"/>
                <w:sz w:val="22"/>
                <w:szCs w:val="22"/>
              </w:rPr>
              <w:t>Stakeholder</w:t>
            </w:r>
          </w:p>
        </w:tc>
        <w:tc>
          <w:tcPr>
            <w:tcW w:w="1500" w:type="dxa"/>
            <w:tcBorders>
              <w:top w:val="single" w:sz="4" w:color="000000"/>
              <w:left w:val="single" w:sz="4" w:color="000000"/>
              <w:bottom w:val="single" w:sz="4" w:color="000000"/>
              <w:right w:val="single" w:sz="4" w:color="000000"/>
            </w:tcBorders>
            <w:tcMar>
              <w:top w:w="60" w:type="dxa"/>
              <w:left w:w="100" w:type="dxa"/>
              <w:bottom w:w="60" w:type="dxa"/>
              <w:right w:w="100" w:type="dxa"/>
            </w:tcMar>
            <w:vAlign w:val="center"/>
          </w:tcPr>
          <w:p w14:paraId="7402F7F1">
            <w:pPr>
              <w:spacing w:after="0" w:line="264"/>
            </w:pPr>
            <w:r>
              <w:rPr>
                <w:rFonts w:ascii="Arial" w:hAnsi="Arial" w:eastAsia="Arial" w:cs="Arial"/>
                <w:b/>
                <w:bCs/>
                <w:color w:val="000000"/>
                <w:sz w:val="22"/>
                <w:szCs w:val="22"/>
              </w:rPr>
              <w:t>Tipo</w:t>
            </w:r>
          </w:p>
        </w:tc>
        <w:tc>
          <w:tcPr>
            <w:tcW w:w="2000" w:type="dxa"/>
            <w:tcBorders>
              <w:top w:val="single" w:sz="4" w:color="000000"/>
              <w:left w:val="single" w:sz="4" w:color="000000"/>
              <w:bottom w:val="single" w:sz="4" w:color="000000"/>
              <w:right w:val="single" w:sz="4" w:color="000000"/>
            </w:tcBorders>
            <w:tcMar>
              <w:top w:w="60" w:type="dxa"/>
              <w:left w:w="100" w:type="dxa"/>
              <w:bottom w:w="60" w:type="dxa"/>
              <w:right w:w="100" w:type="dxa"/>
            </w:tcMar>
            <w:vAlign w:val="center"/>
          </w:tcPr>
          <w:p w14:paraId="3690319D">
            <w:pPr>
              <w:spacing w:after="0" w:line="264"/>
            </w:pPr>
            <w:r>
              <w:rPr>
                <w:rFonts w:ascii="Arial" w:hAnsi="Arial" w:eastAsia="Arial" w:cs="Arial"/>
                <w:b/>
                <w:bCs/>
                <w:color w:val="000000"/>
                <w:sz w:val="22"/>
                <w:szCs w:val="22"/>
              </w:rPr>
              <w:t>¿Actor del sistema?</w:t>
            </w:r>
          </w:p>
        </w:tc>
        <w:tc>
          <w:tcPr>
            <w:tcW w:w="3660" w:type="dxa"/>
            <w:tcBorders>
              <w:top w:val="single" w:sz="4" w:color="000000"/>
              <w:left w:val="single" w:sz="4" w:color="000000"/>
              <w:bottom w:val="single" w:sz="4" w:color="000000"/>
              <w:right w:val="single" w:sz="4" w:color="000000"/>
            </w:tcBorders>
            <w:tcMar>
              <w:top w:w="60" w:type="dxa"/>
              <w:left w:w="100" w:type="dxa"/>
              <w:bottom w:w="60" w:type="dxa"/>
              <w:right w:w="100" w:type="dxa"/>
            </w:tcMar>
            <w:vAlign w:val="center"/>
          </w:tcPr>
          <w:p w14:paraId="0F631E9B">
            <w:pPr>
              <w:spacing w:after="0" w:line="264"/>
            </w:pPr>
            <w:r>
              <w:rPr>
                <w:rFonts w:ascii="Arial" w:hAnsi="Arial" w:eastAsia="Arial" w:cs="Arial"/>
                <w:b/>
                <w:bCs/>
                <w:color w:val="000000"/>
                <w:sz w:val="22"/>
                <w:szCs w:val="22"/>
              </w:rPr>
              <w:t>Interés principal</w:t>
            </w:r>
          </w:p>
        </w:tc>
      </w:tr>
      <w:tr>
        <w:trPr>
          <w:cantSplit/>
        </w:trPr>
        <w:tc>
          <w:tcPr>
            <w:tcW w:w="2200" w:type="dxa"/>
            <w:tcBorders>
              <w:top w:val="single" w:sz="4" w:color="000000"/>
              <w:left w:val="single" w:sz="4" w:color="000000"/>
              <w:bottom w:val="single" w:sz="4" w:color="000000"/>
              <w:right w:val="single" w:sz="4" w:color="000000"/>
            </w:tcBorders>
            <w:tcMar>
              <w:top w:w="60" w:type="dxa"/>
              <w:left w:w="100" w:type="dxa"/>
              <w:bottom w:w="60" w:type="dxa"/>
              <w:right w:w="100" w:type="dxa"/>
            </w:tcMar>
            <w:vAlign w:val="center"/>
          </w:tcPr>
          <w:p w14:paraId="1F55554D">
            <w:pPr>
              <w:spacing w:after="0" w:line="264"/>
            </w:pPr>
            <w:r>
              <w:rPr>
                <w:rFonts w:ascii="Arial" w:hAnsi="Arial" w:eastAsia="Arial" w:cs="Arial"/>
                <w:color w:val="000000"/>
                <w:sz w:val="22"/>
                <w:szCs w:val="22"/>
              </w:rPr>
              <w:t>Cliente (conductor)</w:t>
            </w:r>
          </w:p>
        </w:tc>
        <w:tc>
          <w:tcPr>
            <w:tcW w:w="1500" w:type="dxa"/>
            <w:tcBorders>
              <w:top w:val="single" w:sz="4" w:color="000000"/>
              <w:left w:val="single" w:sz="4" w:color="000000"/>
              <w:bottom w:val="single" w:sz="4" w:color="000000"/>
              <w:right w:val="single" w:sz="4" w:color="000000"/>
            </w:tcBorders>
            <w:tcMar>
              <w:top w:w="60" w:type="dxa"/>
              <w:left w:w="100" w:type="dxa"/>
              <w:bottom w:w="60" w:type="dxa"/>
              <w:right w:w="100" w:type="dxa"/>
            </w:tcMar>
            <w:vAlign w:val="center"/>
          </w:tcPr>
          <w:p w14:paraId="6BA884F6">
            <w:pPr>
              <w:spacing w:after="0" w:line="264"/>
            </w:pPr>
            <w:r>
              <w:rPr>
                <w:rFonts w:ascii="Arial" w:hAnsi="Arial" w:eastAsia="Arial" w:cs="Arial"/>
                <w:color w:val="000000"/>
                <w:sz w:val="22"/>
                <w:szCs w:val="22"/>
              </w:rPr>
              <w:t>Usuario directo</w:t>
            </w:r>
          </w:p>
        </w:tc>
        <w:tc>
          <w:tcPr>
            <w:tcW w:w="2000" w:type="dxa"/>
            <w:tcBorders>
              <w:top w:val="single" w:sz="4" w:color="000000"/>
              <w:left w:val="single" w:sz="4" w:color="000000"/>
              <w:bottom w:val="single" w:sz="4" w:color="000000"/>
              <w:right w:val="single" w:sz="4" w:color="000000"/>
            </w:tcBorders>
            <w:tcMar>
              <w:top w:w="60" w:type="dxa"/>
              <w:left w:w="100" w:type="dxa"/>
              <w:bottom w:w="60" w:type="dxa"/>
              <w:right w:w="100" w:type="dxa"/>
            </w:tcMar>
            <w:vAlign w:val="center"/>
          </w:tcPr>
          <w:p w14:paraId="5F590D56">
            <w:pPr>
              <w:spacing w:after="0" w:line="264"/>
            </w:pPr>
            <w:r>
              <w:rPr>
                <w:rFonts w:ascii="Arial" w:hAnsi="Arial" w:eastAsia="Arial" w:cs="Arial"/>
                <w:color w:val="000000"/>
                <w:sz w:val="22"/>
                <w:szCs w:val="22"/>
              </w:rPr>
              <w:t>Sí</w:t>
            </w:r>
          </w:p>
        </w:tc>
        <w:tc>
          <w:tcPr>
            <w:tcW w:w="3660" w:type="dxa"/>
            <w:tcBorders>
              <w:top w:val="single" w:sz="4" w:color="000000"/>
              <w:left w:val="single" w:sz="4" w:color="000000"/>
              <w:bottom w:val="single" w:sz="4" w:color="000000"/>
              <w:right w:val="single" w:sz="4" w:color="000000"/>
            </w:tcBorders>
            <w:tcMar>
              <w:top w:w="60" w:type="dxa"/>
              <w:left w:w="100" w:type="dxa"/>
              <w:bottom w:w="60" w:type="dxa"/>
              <w:right w:w="100" w:type="dxa"/>
            </w:tcMar>
            <w:vAlign w:val="center"/>
          </w:tcPr>
          <w:p w14:paraId="316CA00A">
            <w:pPr>
              <w:spacing w:after="0" w:line="264"/>
            </w:pPr>
            <w:r>
              <w:rPr>
                <w:rFonts w:ascii="Arial" w:hAnsi="Arial" w:eastAsia="Arial" w:cs="Arial"/>
                <w:color w:val="000000"/>
                <w:sz w:val="22"/>
                <w:szCs w:val="22"/>
              </w:rPr>
              <w:t>Conocer el valor de su estadía y pagar de forma rápida y transparente.</w:t>
            </w:r>
          </w:p>
        </w:tc>
      </w:tr>
      <w:tr>
        <w:trPr>
          <w:cantSplit/>
        </w:trPr>
        <w:tc>
          <w:tcPr>
            <w:tcW w:w="2200" w:type="dxa"/>
            <w:tcBorders>
              <w:top w:val="single" w:sz="4" w:color="000000"/>
              <w:left w:val="single" w:sz="4" w:color="000000"/>
              <w:bottom w:val="single" w:sz="4" w:color="000000"/>
              <w:right w:val="single" w:sz="4" w:color="000000"/>
            </w:tcBorders>
            <w:tcMar>
              <w:top w:w="60" w:type="dxa"/>
              <w:left w:w="100" w:type="dxa"/>
              <w:bottom w:w="60" w:type="dxa"/>
              <w:right w:w="100" w:type="dxa"/>
            </w:tcMar>
            <w:vAlign w:val="center"/>
          </w:tcPr>
          <w:p w14:paraId="31FB69BF">
            <w:pPr>
              <w:spacing w:after="0" w:line="264"/>
            </w:pPr>
            <w:r>
              <w:rPr>
                <w:rFonts w:ascii="Arial" w:hAnsi="Arial" w:eastAsia="Arial" w:cs="Arial"/>
                <w:color w:val="000000"/>
                <w:sz w:val="22"/>
                <w:szCs w:val="22"/>
              </w:rPr>
              <w:t>Personal del parqueadero</w:t>
            </w:r>
          </w:p>
        </w:tc>
        <w:tc>
          <w:tcPr>
            <w:tcW w:w="1500" w:type="dxa"/>
            <w:tcBorders>
              <w:top w:val="single" w:sz="4" w:color="000000"/>
              <w:left w:val="single" w:sz="4" w:color="000000"/>
              <w:bottom w:val="single" w:sz="4" w:color="000000"/>
              <w:right w:val="single" w:sz="4" w:color="000000"/>
            </w:tcBorders>
            <w:tcMar>
              <w:top w:w="60" w:type="dxa"/>
              <w:left w:w="100" w:type="dxa"/>
              <w:bottom w:w="60" w:type="dxa"/>
              <w:right w:w="100" w:type="dxa"/>
            </w:tcMar>
            <w:vAlign w:val="center"/>
          </w:tcPr>
          <w:p w14:paraId="1DD0583A">
            <w:pPr>
              <w:spacing w:after="0" w:line="264"/>
            </w:pPr>
            <w:r>
              <w:rPr>
                <w:rFonts w:ascii="Arial" w:hAnsi="Arial" w:eastAsia="Arial" w:cs="Arial"/>
                <w:color w:val="000000"/>
                <w:sz w:val="22"/>
                <w:szCs w:val="22"/>
              </w:rPr>
              <w:t>Usuario directo</w:t>
            </w:r>
          </w:p>
        </w:tc>
        <w:tc>
          <w:tcPr>
            <w:tcW w:w="2000" w:type="dxa"/>
            <w:tcBorders>
              <w:top w:val="single" w:sz="4" w:color="000000"/>
              <w:left w:val="single" w:sz="4" w:color="000000"/>
              <w:bottom w:val="single" w:sz="4" w:color="000000"/>
              <w:right w:val="single" w:sz="4" w:color="000000"/>
            </w:tcBorders>
            <w:tcMar>
              <w:top w:w="60" w:type="dxa"/>
              <w:left w:w="100" w:type="dxa"/>
              <w:bottom w:w="60" w:type="dxa"/>
              <w:right w:w="100" w:type="dxa"/>
            </w:tcMar>
            <w:vAlign w:val="center"/>
          </w:tcPr>
          <w:p w14:paraId="04BF0B51">
            <w:pPr>
              <w:spacing w:after="0" w:line="264"/>
            </w:pPr>
            <w:r>
              <w:rPr>
                <w:rFonts w:ascii="Arial" w:hAnsi="Arial" w:eastAsia="Arial" w:cs="Arial"/>
                <w:color w:val="000000"/>
                <w:sz w:val="22"/>
                <w:szCs w:val="22"/>
              </w:rPr>
              <w:t>Sí</w:t>
            </w:r>
          </w:p>
        </w:tc>
        <w:tc>
          <w:tcPr>
            <w:tcW w:w="3660" w:type="dxa"/>
            <w:tcBorders>
              <w:top w:val="single" w:sz="4" w:color="000000"/>
              <w:left w:val="single" w:sz="4" w:color="000000"/>
              <w:bottom w:val="single" w:sz="4" w:color="000000"/>
              <w:right w:val="single" w:sz="4" w:color="000000"/>
            </w:tcBorders>
            <w:tcMar>
              <w:top w:w="60" w:type="dxa"/>
              <w:left w:w="100" w:type="dxa"/>
              <w:bottom w:w="60" w:type="dxa"/>
              <w:right w:w="100" w:type="dxa"/>
            </w:tcMar>
            <w:vAlign w:val="center"/>
          </w:tcPr>
          <w:p w14:paraId="61B354F0">
            <w:pPr>
              <w:spacing w:after="0" w:line="264"/>
            </w:pPr>
            <w:r>
              <w:rPr>
                <w:rFonts w:ascii="Arial" w:hAnsi="Arial" w:eastAsia="Arial" w:cs="Arial"/>
                <w:color w:val="000000"/>
                <w:sz w:val="22"/>
                <w:szCs w:val="22"/>
              </w:rPr>
              <w:t>Registrar vehículos, ingresos, salidas y pagos con agilidad.</w:t>
            </w:r>
          </w:p>
        </w:tc>
      </w:tr>
      <w:tr>
        <w:trPr>
          <w:cantSplit/>
        </w:trPr>
        <w:tc>
          <w:tcPr>
            <w:tcW w:w="2200" w:type="dxa"/>
            <w:tcBorders>
              <w:top w:val="single" w:sz="4" w:color="000000"/>
              <w:left w:val="single" w:sz="4" w:color="000000"/>
              <w:bottom w:val="single" w:sz="4" w:color="000000"/>
              <w:right w:val="single" w:sz="4" w:color="000000"/>
            </w:tcBorders>
            <w:tcMar>
              <w:top w:w="60" w:type="dxa"/>
              <w:left w:w="100" w:type="dxa"/>
              <w:bottom w:w="60" w:type="dxa"/>
              <w:right w:w="100" w:type="dxa"/>
            </w:tcMar>
            <w:vAlign w:val="center"/>
          </w:tcPr>
          <w:p w14:paraId="19134FF8">
            <w:pPr>
              <w:spacing w:after="0" w:line="264"/>
            </w:pPr>
            <w:r>
              <w:rPr>
                <w:rFonts w:ascii="Arial" w:hAnsi="Arial" w:eastAsia="Arial" w:cs="Arial"/>
                <w:color w:val="000000"/>
                <w:sz w:val="22"/>
                <w:szCs w:val="22"/>
              </w:rPr>
              <w:t>Administrador</w:t>
            </w:r>
          </w:p>
        </w:tc>
        <w:tc>
          <w:tcPr>
            <w:tcW w:w="1500" w:type="dxa"/>
            <w:tcBorders>
              <w:top w:val="single" w:sz="4" w:color="000000"/>
              <w:left w:val="single" w:sz="4" w:color="000000"/>
              <w:bottom w:val="single" w:sz="4" w:color="000000"/>
              <w:right w:val="single" w:sz="4" w:color="000000"/>
            </w:tcBorders>
            <w:tcMar>
              <w:top w:w="60" w:type="dxa"/>
              <w:left w:w="100" w:type="dxa"/>
              <w:bottom w:w="60" w:type="dxa"/>
              <w:right w:w="100" w:type="dxa"/>
            </w:tcMar>
            <w:vAlign w:val="center"/>
          </w:tcPr>
          <w:p w14:paraId="27DB30BE">
            <w:pPr>
              <w:spacing w:after="0" w:line="264"/>
            </w:pPr>
            <w:r>
              <w:rPr>
                <w:rFonts w:ascii="Arial" w:hAnsi="Arial" w:eastAsia="Arial" w:cs="Arial"/>
                <w:color w:val="000000"/>
                <w:sz w:val="22"/>
                <w:szCs w:val="22"/>
              </w:rPr>
              <w:t>Usuario directo</w:t>
            </w:r>
          </w:p>
        </w:tc>
        <w:tc>
          <w:tcPr>
            <w:tcW w:w="2000" w:type="dxa"/>
            <w:tcBorders>
              <w:top w:val="single" w:sz="4" w:color="000000"/>
              <w:left w:val="single" w:sz="4" w:color="000000"/>
              <w:bottom w:val="single" w:sz="4" w:color="000000"/>
              <w:right w:val="single" w:sz="4" w:color="000000"/>
            </w:tcBorders>
            <w:tcMar>
              <w:top w:w="60" w:type="dxa"/>
              <w:left w:w="100" w:type="dxa"/>
              <w:bottom w:w="60" w:type="dxa"/>
              <w:right w:w="100" w:type="dxa"/>
            </w:tcMar>
            <w:vAlign w:val="center"/>
          </w:tcPr>
          <w:p w14:paraId="529F99D8">
            <w:pPr>
              <w:spacing w:after="0" w:line="264"/>
            </w:pPr>
            <w:r>
              <w:rPr>
                <w:rFonts w:ascii="Arial" w:hAnsi="Arial" w:eastAsia="Arial" w:cs="Arial"/>
                <w:color w:val="000000"/>
                <w:sz w:val="22"/>
                <w:szCs w:val="22"/>
              </w:rPr>
              <w:t>Sí (especializa al Personal)</w:t>
            </w:r>
          </w:p>
        </w:tc>
        <w:tc>
          <w:tcPr>
            <w:tcW w:w="3660" w:type="dxa"/>
            <w:tcBorders>
              <w:top w:val="single" w:sz="4" w:color="000000"/>
              <w:left w:val="single" w:sz="4" w:color="000000"/>
              <w:bottom w:val="single" w:sz="4" w:color="000000"/>
              <w:right w:val="single" w:sz="4" w:color="000000"/>
            </w:tcBorders>
            <w:tcMar>
              <w:top w:w="60" w:type="dxa"/>
              <w:left w:w="100" w:type="dxa"/>
              <w:bottom w:w="60" w:type="dxa"/>
              <w:right w:w="100" w:type="dxa"/>
            </w:tcMar>
            <w:vAlign w:val="center"/>
          </w:tcPr>
          <w:p w14:paraId="1F2CFAD4">
            <w:pPr>
              <w:spacing w:after="0" w:line="264"/>
            </w:pPr>
            <w:r>
              <w:rPr>
                <w:rFonts w:ascii="Arial" w:hAnsi="Arial" w:eastAsia="Arial" w:cs="Arial"/>
                <w:color w:val="000000"/>
                <w:sz w:val="22"/>
                <w:szCs w:val="22"/>
              </w:rPr>
              <w:t>Configurar tarifas, tipos de vehículo y usuarios sin intervención técnica.</w:t>
            </w:r>
          </w:p>
        </w:tc>
      </w:tr>
      <w:tr>
        <w:trPr>
          <w:cantSplit/>
        </w:trPr>
        <w:tc>
          <w:tcPr>
            <w:tcW w:w="2200" w:type="dxa"/>
            <w:tcBorders>
              <w:top w:val="single" w:sz="4" w:color="000000"/>
              <w:left w:val="single" w:sz="4" w:color="000000"/>
              <w:bottom w:val="single" w:sz="4" w:color="000000"/>
              <w:right w:val="single" w:sz="4" w:color="000000"/>
            </w:tcBorders>
            <w:tcMar>
              <w:top w:w="60" w:type="dxa"/>
              <w:left w:w="100" w:type="dxa"/>
              <w:bottom w:w="60" w:type="dxa"/>
              <w:right w:w="100" w:type="dxa"/>
            </w:tcMar>
            <w:vAlign w:val="center"/>
          </w:tcPr>
          <w:p w14:paraId="30C8DEFA">
            <w:pPr>
              <w:spacing w:after="0" w:line="264"/>
            </w:pPr>
            <w:r>
              <w:rPr>
                <w:rFonts w:ascii="Arial" w:hAnsi="Arial" w:eastAsia="Arial" w:cs="Arial"/>
                <w:color w:val="000000"/>
                <w:sz w:val="22"/>
                <w:szCs w:val="22"/>
              </w:rPr>
              <w:t>Propietarios del negocio</w:t>
            </w:r>
          </w:p>
        </w:tc>
        <w:tc>
          <w:tcPr>
            <w:tcW w:w="1500" w:type="dxa"/>
            <w:tcBorders>
              <w:top w:val="single" w:sz="4" w:color="000000"/>
              <w:left w:val="single" w:sz="4" w:color="000000"/>
              <w:bottom w:val="single" w:sz="4" w:color="000000"/>
              <w:right w:val="single" w:sz="4" w:color="000000"/>
            </w:tcBorders>
            <w:tcMar>
              <w:top w:w="60" w:type="dxa"/>
              <w:left w:w="100" w:type="dxa"/>
              <w:bottom w:w="60" w:type="dxa"/>
              <w:right w:w="100" w:type="dxa"/>
            </w:tcMar>
            <w:vAlign w:val="center"/>
          </w:tcPr>
          <w:p w14:paraId="3F894E20">
            <w:pPr>
              <w:spacing w:after="0" w:line="264"/>
            </w:pPr>
            <w:r>
              <w:rPr>
                <w:rFonts w:ascii="Arial" w:hAnsi="Arial" w:eastAsia="Arial" w:cs="Arial"/>
                <w:color w:val="000000"/>
                <w:sz w:val="22"/>
                <w:szCs w:val="22"/>
              </w:rPr>
              <w:t>Indirecto</w:t>
            </w:r>
          </w:p>
        </w:tc>
        <w:tc>
          <w:tcPr>
            <w:tcW w:w="2000" w:type="dxa"/>
            <w:tcBorders>
              <w:top w:val="single" w:sz="4" w:color="000000"/>
              <w:left w:val="single" w:sz="4" w:color="000000"/>
              <w:bottom w:val="single" w:sz="4" w:color="000000"/>
              <w:right w:val="single" w:sz="4" w:color="000000"/>
            </w:tcBorders>
            <w:tcMar>
              <w:top w:w="60" w:type="dxa"/>
              <w:left w:w="100" w:type="dxa"/>
              <w:bottom w:w="60" w:type="dxa"/>
              <w:right w:w="100" w:type="dxa"/>
            </w:tcMar>
            <w:vAlign w:val="center"/>
          </w:tcPr>
          <w:p w14:paraId="1B512527">
            <w:pPr>
              <w:spacing w:after="0" w:line="264"/>
            </w:pPr>
            <w:r>
              <w:rPr>
                <w:rFonts w:ascii="Arial" w:hAnsi="Arial" w:eastAsia="Arial" w:cs="Arial"/>
                <w:color w:val="000000"/>
                <w:sz w:val="22"/>
                <w:szCs w:val="22"/>
              </w:rPr>
              <w:t>No</w:t>
            </w:r>
          </w:p>
        </w:tc>
        <w:tc>
          <w:tcPr>
            <w:tcW w:w="3660" w:type="dxa"/>
            <w:tcBorders>
              <w:top w:val="single" w:sz="4" w:color="000000"/>
              <w:left w:val="single" w:sz="4" w:color="000000"/>
              <w:bottom w:val="single" w:sz="4" w:color="000000"/>
              <w:right w:val="single" w:sz="4" w:color="000000"/>
            </w:tcBorders>
            <w:tcMar>
              <w:top w:w="60" w:type="dxa"/>
              <w:left w:w="100" w:type="dxa"/>
              <w:bottom w:w="60" w:type="dxa"/>
              <w:right w:w="100" w:type="dxa"/>
            </w:tcMar>
            <w:vAlign w:val="center"/>
          </w:tcPr>
          <w:p w14:paraId="53C6EAED">
            <w:pPr>
              <w:spacing w:after="0" w:line="264"/>
            </w:pPr>
            <w:r>
              <w:rPr>
                <w:rFonts w:ascii="Arial" w:hAnsi="Arial" w:eastAsia="Arial" w:cs="Arial"/>
                <w:color w:val="000000"/>
                <w:sz w:val="22"/>
                <w:szCs w:val="22"/>
              </w:rPr>
              <w:t>Rentabilidad, control del recaudo y capacidad de adaptar el negocio a nuevas tarifas y tipos de vehículo.</w:t>
            </w:r>
          </w:p>
        </w:tc>
      </w:tr>
      <w:tr>
        <w:trPr>
          <w:cantSplit/>
        </w:trPr>
        <w:tc>
          <w:tcPr>
            <w:tcW w:w="2200" w:type="dxa"/>
            <w:tcBorders>
              <w:top w:val="single" w:sz="4" w:color="000000"/>
              <w:left w:val="single" w:sz="4" w:color="000000"/>
              <w:bottom w:val="single" w:sz="4" w:color="000000"/>
              <w:right w:val="single" w:sz="4" w:color="000000"/>
            </w:tcBorders>
            <w:tcMar>
              <w:top w:w="60" w:type="dxa"/>
              <w:left w:w="100" w:type="dxa"/>
              <w:bottom w:w="60" w:type="dxa"/>
              <w:right w:w="100" w:type="dxa"/>
            </w:tcMar>
            <w:vAlign w:val="center"/>
          </w:tcPr>
          <w:p w14:paraId="230CEFBE">
            <w:pPr>
              <w:spacing w:after="0" w:line="264"/>
            </w:pPr>
            <w:r>
              <w:rPr>
                <w:rFonts w:ascii="Arial" w:hAnsi="Arial" w:eastAsia="Arial" w:cs="Arial"/>
                <w:color w:val="000000"/>
                <w:sz w:val="22"/>
                <w:szCs w:val="22"/>
              </w:rPr>
              <w:t>Superintendencia de Industria y Comercio</w:t>
            </w:r>
          </w:p>
        </w:tc>
        <w:tc>
          <w:tcPr>
            <w:tcW w:w="1500" w:type="dxa"/>
            <w:tcBorders>
              <w:top w:val="single" w:sz="4" w:color="000000"/>
              <w:left w:val="single" w:sz="4" w:color="000000"/>
              <w:bottom w:val="single" w:sz="4" w:color="000000"/>
              <w:right w:val="single" w:sz="4" w:color="000000"/>
            </w:tcBorders>
            <w:tcMar>
              <w:top w:w="60" w:type="dxa"/>
              <w:left w:w="100" w:type="dxa"/>
              <w:bottom w:w="60" w:type="dxa"/>
              <w:right w:w="100" w:type="dxa"/>
            </w:tcMar>
            <w:vAlign w:val="center"/>
          </w:tcPr>
          <w:p w14:paraId="780A0E80">
            <w:pPr>
              <w:spacing w:after="0" w:line="264"/>
            </w:pPr>
            <w:r>
              <w:rPr>
                <w:rFonts w:ascii="Arial" w:hAnsi="Arial" w:eastAsia="Arial" w:cs="Arial"/>
                <w:color w:val="000000"/>
                <w:sz w:val="22"/>
                <w:szCs w:val="22"/>
              </w:rPr>
              <w:t>Regulador</w:t>
            </w:r>
          </w:p>
        </w:tc>
        <w:tc>
          <w:tcPr>
            <w:tcW w:w="2000" w:type="dxa"/>
            <w:tcBorders>
              <w:top w:val="single" w:sz="4" w:color="000000"/>
              <w:left w:val="single" w:sz="4" w:color="000000"/>
              <w:bottom w:val="single" w:sz="4" w:color="000000"/>
              <w:right w:val="single" w:sz="4" w:color="000000"/>
            </w:tcBorders>
            <w:tcMar>
              <w:top w:w="60" w:type="dxa"/>
              <w:left w:w="100" w:type="dxa"/>
              <w:bottom w:w="60" w:type="dxa"/>
              <w:right w:w="100" w:type="dxa"/>
            </w:tcMar>
            <w:vAlign w:val="center"/>
          </w:tcPr>
          <w:p w14:paraId="7443E35D">
            <w:pPr>
              <w:spacing w:after="0" w:line="264"/>
            </w:pPr>
            <w:r>
              <w:rPr>
                <w:rFonts w:ascii="Arial" w:hAnsi="Arial" w:eastAsia="Arial" w:cs="Arial"/>
                <w:color w:val="000000"/>
                <w:sz w:val="22"/>
                <w:szCs w:val="22"/>
              </w:rPr>
              <w:t>No</w:t>
            </w:r>
          </w:p>
        </w:tc>
        <w:tc>
          <w:tcPr>
            <w:tcW w:w="3660" w:type="dxa"/>
            <w:tcBorders>
              <w:top w:val="single" w:sz="4" w:color="000000"/>
              <w:left w:val="single" w:sz="4" w:color="000000"/>
              <w:bottom w:val="single" w:sz="4" w:color="000000"/>
              <w:right w:val="single" w:sz="4" w:color="000000"/>
            </w:tcBorders>
            <w:tcMar>
              <w:top w:w="60" w:type="dxa"/>
              <w:left w:w="100" w:type="dxa"/>
              <w:bottom w:w="60" w:type="dxa"/>
              <w:right w:w="100" w:type="dxa"/>
            </w:tcMar>
            <w:vAlign w:val="center"/>
          </w:tcPr>
          <w:p w14:paraId="2AA7E04D">
            <w:pPr>
              <w:spacing w:after="0" w:line="264"/>
            </w:pPr>
            <w:r>
              <w:rPr>
                <w:rFonts w:ascii="Arial" w:hAnsi="Arial" w:eastAsia="Arial" w:cs="Arial"/>
                <w:color w:val="000000"/>
                <w:sz w:val="22"/>
                <w:szCs w:val="22"/>
              </w:rPr>
              <w:t>Protección al consumidor: tarifas claras y cobros justificados.</w:t>
            </w:r>
          </w:p>
        </w:tc>
      </w:tr>
      <w:tr>
        <w:trPr>
          <w:cantSplit/>
        </w:trPr>
        <w:tc>
          <w:tcPr>
            <w:tcW w:w="2200" w:type="dxa"/>
            <w:tcBorders>
              <w:top w:val="single" w:sz="4" w:color="000000"/>
              <w:left w:val="single" w:sz="4" w:color="000000"/>
              <w:bottom w:val="single" w:sz="4" w:color="000000"/>
              <w:right w:val="single" w:sz="4" w:color="000000"/>
            </w:tcBorders>
            <w:tcMar>
              <w:top w:w="60" w:type="dxa"/>
              <w:left w:w="100" w:type="dxa"/>
              <w:bottom w:w="60" w:type="dxa"/>
              <w:right w:w="100" w:type="dxa"/>
            </w:tcMar>
            <w:vAlign w:val="center"/>
          </w:tcPr>
          <w:p w14:paraId="390B2ECF">
            <w:pPr>
              <w:spacing w:after="0" w:line="264"/>
            </w:pPr>
            <w:r>
              <w:rPr>
                <w:rFonts w:ascii="Arial" w:hAnsi="Arial" w:eastAsia="Arial" w:cs="Arial"/>
                <w:color w:val="000000"/>
                <w:sz w:val="22"/>
                <w:szCs w:val="22"/>
              </w:rPr>
              <w:t>Pasarela de pagos</w:t>
            </w:r>
          </w:p>
        </w:tc>
        <w:tc>
          <w:tcPr>
            <w:tcW w:w="1500" w:type="dxa"/>
            <w:tcBorders>
              <w:top w:val="single" w:sz="4" w:color="000000"/>
              <w:left w:val="single" w:sz="4" w:color="000000"/>
              <w:bottom w:val="single" w:sz="4" w:color="000000"/>
              <w:right w:val="single" w:sz="4" w:color="000000"/>
            </w:tcBorders>
            <w:tcMar>
              <w:top w:w="60" w:type="dxa"/>
              <w:left w:w="100" w:type="dxa"/>
              <w:bottom w:w="60" w:type="dxa"/>
              <w:right w:w="100" w:type="dxa"/>
            </w:tcMar>
            <w:vAlign w:val="center"/>
          </w:tcPr>
          <w:p w14:paraId="11D67D04">
            <w:pPr>
              <w:spacing w:after="0" w:line="264"/>
            </w:pPr>
            <w:r>
              <w:rPr>
                <w:rFonts w:ascii="Arial" w:hAnsi="Arial" w:eastAsia="Arial" w:cs="Arial"/>
                <w:color w:val="000000"/>
                <w:sz w:val="22"/>
                <w:szCs w:val="22"/>
              </w:rPr>
              <w:t>Sistema externo</w:t>
            </w:r>
          </w:p>
        </w:tc>
        <w:tc>
          <w:tcPr>
            <w:tcW w:w="2000" w:type="dxa"/>
            <w:tcBorders>
              <w:top w:val="single" w:sz="4" w:color="000000"/>
              <w:left w:val="single" w:sz="4" w:color="000000"/>
              <w:bottom w:val="single" w:sz="4" w:color="000000"/>
              <w:right w:val="single" w:sz="4" w:color="000000"/>
            </w:tcBorders>
            <w:tcMar>
              <w:top w:w="60" w:type="dxa"/>
              <w:left w:w="100" w:type="dxa"/>
              <w:bottom w:w="60" w:type="dxa"/>
              <w:right w:w="100" w:type="dxa"/>
            </w:tcMar>
            <w:vAlign w:val="center"/>
          </w:tcPr>
          <w:p w14:paraId="6ABB9883">
            <w:pPr>
              <w:spacing w:after="0" w:line="264"/>
            </w:pPr>
            <w:r>
              <w:rPr>
                <w:rFonts w:ascii="Arial" w:hAnsi="Arial" w:eastAsia="Arial" w:cs="Arial"/>
                <w:color w:val="000000"/>
                <w:sz w:val="22"/>
                <w:szCs w:val="22"/>
              </w:rPr>
              <w:t>No (no se modela como actor por convención del curso)</w:t>
            </w:r>
          </w:p>
        </w:tc>
        <w:tc>
          <w:tcPr>
            <w:tcW w:w="3660" w:type="dxa"/>
            <w:tcBorders>
              <w:top w:val="single" w:sz="4" w:color="000000"/>
              <w:left w:val="single" w:sz="4" w:color="000000"/>
              <w:bottom w:val="single" w:sz="4" w:color="000000"/>
              <w:right w:val="single" w:sz="4" w:color="000000"/>
            </w:tcBorders>
            <w:tcMar>
              <w:top w:w="60" w:type="dxa"/>
              <w:left w:w="100" w:type="dxa"/>
              <w:bottom w:w="60" w:type="dxa"/>
              <w:right w:w="100" w:type="dxa"/>
            </w:tcMar>
            <w:vAlign w:val="center"/>
          </w:tcPr>
          <w:p w14:paraId="57A80558">
            <w:pPr>
              <w:spacing w:after="0" w:line="264"/>
            </w:pPr>
            <w:r>
              <w:rPr>
                <w:rFonts w:ascii="Arial" w:hAnsi="Arial" w:eastAsia="Arial" w:cs="Arial"/>
                <w:color w:val="000000"/>
                <w:sz w:val="22"/>
                <w:szCs w:val="22"/>
              </w:rPr>
              <w:t>Procesar y confirmar las transacciones de pago en línea.</w:t>
            </w:r>
          </w:p>
        </w:tc>
      </w:tr>
      <w:tr>
        <w:trPr>
          <w:cantSplit/>
        </w:trPr>
        <w:tc>
          <w:tcPr>
            <w:tcW w:w="2200" w:type="dxa"/>
            <w:tcBorders>
              <w:top w:val="single" w:sz="4" w:color="000000"/>
              <w:left w:val="single" w:sz="4" w:color="000000"/>
              <w:bottom w:val="single" w:sz="4" w:color="000000"/>
              <w:right w:val="single" w:sz="4" w:color="000000"/>
            </w:tcBorders>
            <w:tcMar>
              <w:top w:w="60" w:type="dxa"/>
              <w:left w:w="100" w:type="dxa"/>
              <w:bottom w:w="60" w:type="dxa"/>
              <w:right w:w="100" w:type="dxa"/>
            </w:tcMar>
            <w:vAlign w:val="center"/>
          </w:tcPr>
          <w:p w14:paraId="4DE9D1E1">
            <w:pPr>
              <w:spacing w:after="0" w:line="264"/>
            </w:pPr>
            <w:r>
              <w:rPr>
                <w:rFonts w:ascii="Arial" w:hAnsi="Arial" w:eastAsia="Arial" w:cs="Arial"/>
                <w:color w:val="000000"/>
                <w:sz w:val="22"/>
                <w:szCs w:val="22"/>
              </w:rPr>
              <w:t>Equipo de desarrollo</w:t>
            </w:r>
          </w:p>
        </w:tc>
        <w:tc>
          <w:tcPr>
            <w:tcW w:w="1500" w:type="dxa"/>
            <w:tcBorders>
              <w:top w:val="single" w:sz="4" w:color="000000"/>
              <w:left w:val="single" w:sz="4" w:color="000000"/>
              <w:bottom w:val="single" w:sz="4" w:color="000000"/>
              <w:right w:val="single" w:sz="4" w:color="000000"/>
            </w:tcBorders>
            <w:tcMar>
              <w:top w:w="60" w:type="dxa"/>
              <w:left w:w="100" w:type="dxa"/>
              <w:bottom w:w="60" w:type="dxa"/>
              <w:right w:w="100" w:type="dxa"/>
            </w:tcMar>
            <w:vAlign w:val="center"/>
          </w:tcPr>
          <w:p w14:paraId="562BCE98">
            <w:pPr>
              <w:spacing w:after="0" w:line="264"/>
            </w:pPr>
            <w:r>
              <w:rPr>
                <w:rFonts w:ascii="Arial" w:hAnsi="Arial" w:eastAsia="Arial" w:cs="Arial"/>
                <w:color w:val="000000"/>
                <w:sz w:val="22"/>
                <w:szCs w:val="22"/>
              </w:rPr>
              <w:t>Técnico</w:t>
            </w:r>
          </w:p>
        </w:tc>
        <w:tc>
          <w:tcPr>
            <w:tcW w:w="2000" w:type="dxa"/>
            <w:tcBorders>
              <w:top w:val="single" w:sz="4" w:color="000000"/>
              <w:left w:val="single" w:sz="4" w:color="000000"/>
              <w:bottom w:val="single" w:sz="4" w:color="000000"/>
              <w:right w:val="single" w:sz="4" w:color="000000"/>
            </w:tcBorders>
            <w:tcMar>
              <w:top w:w="60" w:type="dxa"/>
              <w:left w:w="100" w:type="dxa"/>
              <w:bottom w:w="60" w:type="dxa"/>
              <w:right w:w="100" w:type="dxa"/>
            </w:tcMar>
            <w:vAlign w:val="center"/>
          </w:tcPr>
          <w:p w14:paraId="592B4D85">
            <w:pPr>
              <w:spacing w:after="0" w:line="264"/>
            </w:pPr>
            <w:r>
              <w:rPr>
                <w:rFonts w:ascii="Arial" w:hAnsi="Arial" w:eastAsia="Arial" w:cs="Arial"/>
                <w:color w:val="000000"/>
                <w:sz w:val="22"/>
                <w:szCs w:val="22"/>
              </w:rPr>
              <w:t>No</w:t>
            </w:r>
          </w:p>
        </w:tc>
        <w:tc>
          <w:tcPr>
            <w:tcW w:w="3660" w:type="dxa"/>
            <w:tcBorders>
              <w:top w:val="single" w:sz="4" w:color="000000"/>
              <w:left w:val="single" w:sz="4" w:color="000000"/>
              <w:bottom w:val="single" w:sz="4" w:color="000000"/>
              <w:right w:val="single" w:sz="4" w:color="000000"/>
            </w:tcBorders>
            <w:tcMar>
              <w:top w:w="60" w:type="dxa"/>
              <w:left w:w="100" w:type="dxa"/>
              <w:bottom w:w="60" w:type="dxa"/>
              <w:right w:w="100" w:type="dxa"/>
            </w:tcMar>
            <w:vAlign w:val="center"/>
          </w:tcPr>
          <w:p w14:paraId="7EBC67E2">
            <w:pPr>
              <w:spacing w:after="0" w:line="264"/>
            </w:pPr>
            <w:r>
              <w:rPr>
                <w:rFonts w:ascii="Arial" w:hAnsi="Arial" w:eastAsia="Arial" w:cs="Arial"/>
                <w:color w:val="000000"/>
                <w:sz w:val="22"/>
                <w:szCs w:val="22"/>
              </w:rPr>
              <w:t>Mantenibilidad y bajo acoplamiento, para incorporar cambios sin reescribir el sistema.</w:t>
            </w:r>
          </w:p>
        </w:tc>
      </w:tr>
    </w:tbl>
    <w:p w14:paraId="63F8C588">
      <w:pPr>
        <w:pStyle w:val="Heading2"/>
      </w:pPr>
      <w:r>
        <w:rPr>
          <w:rFonts w:ascii="Arial" w:hAnsi="Arial" w:eastAsia="Arial" w:cs="Arial"/>
          <w:b/>
          <w:bCs/>
          <w:color w:val="000000"/>
          <w:sz w:val="24"/>
          <w:szCs w:val="24"/>
        </w:rPr>
        <w:t>3.2 Actores del sistema</w:t>
      </w:r>
    </w:p>
    <w:p w14:paraId="259ADF71">
      <w:pPr>
        <w:pStyle w:val="ListParagraph"/>
        <w:numPr>
          <w:ilvl w:val="0"/>
          <w:numId w:val="2"/>
        </w:numPr>
        <w:spacing w:after="80" w:line="276"/>
        <w:ind w:left="720" w:hanging="360"/>
        <w:jc w:val="both"/>
      </w:pPr>
      <w:r>
        <w:rPr>
          <w:rFonts w:ascii="Arial" w:hAnsi="Arial" w:eastAsia="Arial" w:cs="Arial"/>
          <w:b/>
          <w:bCs/>
          <w:color w:val="000000"/>
          <w:sz w:val="22"/>
          <w:szCs w:val="22"/>
        </w:rPr>
        <w:t xml:space="preserve">Cliente: </w:t>
      </w:r>
      <w:r>
        <w:rPr>
          <w:rFonts w:ascii="Arial" w:hAnsi="Arial" w:eastAsia="Arial" w:cs="Arial"/>
          <w:color w:val="000000"/>
          <w:sz w:val="22"/>
          <w:szCs w:val="22"/>
        </w:rPr>
        <w:t>conductor que usa el parqueadero. Consulta el valor de su estadía y paga en línea. No tiene cuenta en el sistema; se identifica con la placa del vehículo.</w:t>
      </w:r>
    </w:p>
    <w:p w14:paraId="3FA6BDF3">
      <w:pPr>
        <w:pStyle w:val="ListParagraph"/>
        <w:numPr>
          <w:ilvl w:val="0"/>
          <w:numId w:val="2"/>
        </w:numPr>
        <w:spacing w:after="80" w:line="276"/>
        <w:ind w:left="720" w:hanging="360"/>
        <w:jc w:val="both"/>
      </w:pPr>
      <w:r>
        <w:rPr>
          <w:rFonts w:ascii="Arial" w:hAnsi="Arial" w:eastAsia="Arial" w:cs="Arial"/>
          <w:b/>
          <w:bCs/>
          <w:color w:val="000000"/>
          <w:sz w:val="22"/>
          <w:szCs w:val="22"/>
        </w:rPr>
        <w:t xml:space="preserve">Personal del parqueadero: </w:t>
      </w:r>
      <w:r>
        <w:rPr>
          <w:rFonts w:ascii="Arial" w:hAnsi="Arial" w:eastAsia="Arial" w:cs="Arial"/>
          <w:color w:val="000000"/>
          <w:sz w:val="22"/>
          <w:szCs w:val="22"/>
        </w:rPr>
        <w:t>registra vehículos, ingresos, salidas y pagos en caja, y consulta vehículos.</w:t>
      </w:r>
    </w:p>
    <w:p w14:paraId="38916B44">
      <w:pPr>
        <w:pStyle w:val="ListParagraph"/>
        <w:numPr>
          <w:ilvl w:val="0"/>
          <w:numId w:val="2"/>
        </w:numPr>
        <w:spacing w:after="80" w:line="276"/>
        <w:ind w:left="720" w:hanging="360"/>
        <w:jc w:val="both"/>
      </w:pPr>
      <w:r>
        <w:rPr>
          <w:rFonts w:ascii="Arial" w:hAnsi="Arial" w:eastAsia="Arial" w:cs="Arial"/>
          <w:b/>
          <w:bCs/>
          <w:color w:val="000000"/>
          <w:sz w:val="22"/>
          <w:szCs w:val="22"/>
        </w:rPr>
        <w:t xml:space="preserve">Administrador: </w:t>
      </w:r>
      <w:r>
        <w:rPr>
          <w:rFonts w:ascii="Arial" w:hAnsi="Arial" w:eastAsia="Arial" w:cs="Arial"/>
          <w:color w:val="000000"/>
          <w:sz w:val="22"/>
          <w:szCs w:val="22"/>
        </w:rPr>
        <w:t>hereda todos los casos de uso del Personal (generalización) y además gestiona la configuración del sistema: tarifas, tipos de vehículo y usuarios, y consulta el reporte de ingresos.</w:t>
      </w:r>
    </w:p>
    <w:p w14:paraId="33453068">
      <w:pPr>
        <w:spacing w:after="120" w:line="276"/>
        <w:jc w:val="both"/>
      </w:pPr>
      <w:r>
        <w:rPr>
          <w:rFonts w:ascii="Arial" w:hAnsi="Arial" w:eastAsia="Arial" w:cs="Arial"/>
          <w:color w:val="000000"/>
          <w:sz w:val="22"/>
          <w:szCs w:val="22"/>
        </w:rPr>
        <w:t>El pago en línea depende de un servicio externo de pagos, que no se representa como actor en el diagrama de casos de uso por convención del curso (solo actores humanos). Su presencia en el diseño se refleja en la arquitectura (sección 8).</w:t>
      </w:r>
    </w:p>
    <w:p w14:paraId="4E636B8A">
      <w:pPr>
        <w:pStyle w:val="Heading1"/>
      </w:pPr>
      <w:r>
        <w:rPr>
          <w:rFonts w:ascii="Arial" w:hAnsi="Arial" w:eastAsia="Arial" w:cs="Arial"/>
          <w:b/>
          <w:bCs/>
          <w:color w:val="000000"/>
          <w:sz w:val="28"/>
          <w:szCs w:val="28"/>
        </w:rPr>
        <w:t>4. Reglas de negocio</w:t>
      </w:r>
    </w:p>
    <w:p w14:paraId="15D2C0D1">
      <w:pPr>
        <w:spacing w:after="120" w:line="276"/>
        <w:jc w:val="both"/>
      </w:pPr>
      <w:r>
        <w:rPr>
          <w:rFonts w:ascii="Arial" w:hAnsi="Arial" w:eastAsia="Arial" w:cs="Arial"/>
          <w:color w:val="000000"/>
          <w:sz w:val="22"/>
          <w:szCs w:val="22"/>
        </w:rPr>
        <w:t>Las siguientes reglas gobiernan el comportamiento del sistema y son referenciadas por los casos de uso y el modelo de clases.</w:t>
      </w:r>
    </w:p>
    <w:tbl>
      <w:tblPr>
        <w:tblW w:w="9360" w:type="dxa"/>
        <w:tblBorders>
          <w:top w:val="single" w:sz="4" w:color="auto"/>
          <w:left w:val="single" w:sz="4" w:color="auto"/>
          <w:bottom w:val="single" w:sz="4" w:color="auto"/>
          <w:right w:val="single" w:sz="4" w:color="auto"/>
          <w:insideH w:val="single" w:sz="4" w:color="auto"/>
          <w:insideV w:val="single" w:sz="4" w:color="auto"/>
        </w:tblBorders>
      </w:tblPr>
      <w:tblGrid>
        <w:gridCol w:w="1200"/>
        <w:gridCol w:w="8160"/>
      </w:tblGrid>
      <w:tr>
        <w:trPr>
          <w:tblHeader/>
        </w:trPr>
        <w:tc>
          <w:tcPr>
            <w:tcW w:w="1200" w:type="dxa"/>
            <w:tcBorders>
              <w:top w:val="single" w:sz="4" w:color="000000"/>
              <w:left w:val="single" w:sz="4" w:color="000000"/>
              <w:bottom w:val="single" w:sz="4" w:color="000000"/>
              <w:right w:val="single" w:sz="4" w:color="000000"/>
            </w:tcBorders>
            <w:tcMar>
              <w:top w:w="60" w:type="dxa"/>
              <w:left w:w="100" w:type="dxa"/>
              <w:bottom w:w="60" w:type="dxa"/>
              <w:right w:w="100" w:type="dxa"/>
            </w:tcMar>
            <w:vAlign w:val="center"/>
          </w:tcPr>
          <w:p w14:paraId="0A5EAFA3">
            <w:pPr>
              <w:spacing w:after="0" w:line="264"/>
            </w:pPr>
            <w:r>
              <w:rPr>
                <w:rFonts w:ascii="Arial" w:hAnsi="Arial" w:eastAsia="Arial" w:cs="Arial"/>
                <w:b/>
                <w:bCs/>
                <w:color w:val="000000"/>
                <w:sz w:val="22"/>
                <w:szCs w:val="22"/>
              </w:rPr>
              <w:t>Código</w:t>
            </w:r>
          </w:p>
        </w:tc>
        <w:tc>
          <w:tcPr>
            <w:tcW w:w="8160" w:type="dxa"/>
            <w:tcBorders>
              <w:top w:val="single" w:sz="4" w:color="000000"/>
              <w:left w:val="single" w:sz="4" w:color="000000"/>
              <w:bottom w:val="single" w:sz="4" w:color="000000"/>
              <w:right w:val="single" w:sz="4" w:color="000000"/>
            </w:tcBorders>
            <w:tcMar>
              <w:top w:w="60" w:type="dxa"/>
              <w:left w:w="100" w:type="dxa"/>
              <w:bottom w:w="60" w:type="dxa"/>
              <w:right w:w="100" w:type="dxa"/>
            </w:tcMar>
            <w:vAlign w:val="center"/>
          </w:tcPr>
          <w:p w14:paraId="27F7D470">
            <w:pPr>
              <w:spacing w:after="0" w:line="264"/>
            </w:pPr>
            <w:r>
              <w:rPr>
                <w:rFonts w:ascii="Arial" w:hAnsi="Arial" w:eastAsia="Arial" w:cs="Arial"/>
                <w:b/>
                <w:bCs/>
                <w:color w:val="000000"/>
                <w:sz w:val="22"/>
                <w:szCs w:val="22"/>
              </w:rPr>
              <w:t>Regla</w:t>
            </w:r>
          </w:p>
        </w:tc>
      </w:tr>
      <w:tr>
        <w:trPr>
          <w:cantSplit/>
        </w:trPr>
        <w:tc>
          <w:tcPr>
            <w:tcW w:w="1200" w:type="dxa"/>
            <w:tcBorders>
              <w:top w:val="single" w:sz="4" w:color="000000"/>
              <w:left w:val="single" w:sz="4" w:color="000000"/>
              <w:bottom w:val="single" w:sz="4" w:color="000000"/>
              <w:right w:val="single" w:sz="4" w:color="000000"/>
            </w:tcBorders>
            <w:tcMar>
              <w:top w:w="60" w:type="dxa"/>
              <w:left w:w="100" w:type="dxa"/>
              <w:bottom w:w="60" w:type="dxa"/>
              <w:right w:w="100" w:type="dxa"/>
            </w:tcMar>
            <w:vAlign w:val="center"/>
          </w:tcPr>
          <w:p w14:paraId="509A89F9">
            <w:pPr>
              <w:spacing w:after="0" w:line="264"/>
            </w:pPr>
            <w:r>
              <w:rPr>
                <w:rFonts w:ascii="Arial" w:hAnsi="Arial" w:eastAsia="Arial" w:cs="Arial"/>
                <w:color w:val="000000"/>
                <w:sz w:val="22"/>
                <w:szCs w:val="22"/>
              </w:rPr>
              <w:t>RN-01</w:t>
            </w:r>
          </w:p>
        </w:tc>
        <w:tc>
          <w:tcPr>
            <w:tcW w:w="8160" w:type="dxa"/>
            <w:tcBorders>
              <w:top w:val="single" w:sz="4" w:color="000000"/>
              <w:left w:val="single" w:sz="4" w:color="000000"/>
              <w:bottom w:val="single" w:sz="4" w:color="000000"/>
              <w:right w:val="single" w:sz="4" w:color="000000"/>
            </w:tcBorders>
            <w:tcMar>
              <w:top w:w="60" w:type="dxa"/>
              <w:left w:w="100" w:type="dxa"/>
              <w:bottom w:w="60" w:type="dxa"/>
              <w:right w:w="100" w:type="dxa"/>
            </w:tcMar>
            <w:vAlign w:val="center"/>
          </w:tcPr>
          <w:p w14:paraId="655A4D23">
            <w:pPr>
              <w:spacing w:after="0" w:line="264"/>
            </w:pPr>
            <w:r>
              <w:rPr>
                <w:rFonts w:ascii="Arial" w:hAnsi="Arial" w:eastAsia="Arial" w:cs="Arial"/>
                <w:color w:val="000000"/>
                <w:sz w:val="22"/>
                <w:szCs w:val="22"/>
              </w:rPr>
              <w:t>La tarifa aplicada a una estadía es la vigente al momento del ingreso.</w:t>
            </w:r>
          </w:p>
        </w:tc>
      </w:tr>
      <w:tr>
        <w:trPr>
          <w:cantSplit/>
        </w:trPr>
        <w:tc>
          <w:tcPr>
            <w:tcW w:w="1200" w:type="dxa"/>
            <w:tcBorders>
              <w:top w:val="single" w:sz="4" w:color="000000"/>
              <w:left w:val="single" w:sz="4" w:color="000000"/>
              <w:bottom w:val="single" w:sz="4" w:color="000000"/>
              <w:right w:val="single" w:sz="4" w:color="000000"/>
            </w:tcBorders>
            <w:tcMar>
              <w:top w:w="60" w:type="dxa"/>
              <w:left w:w="100" w:type="dxa"/>
              <w:bottom w:w="60" w:type="dxa"/>
              <w:right w:w="100" w:type="dxa"/>
            </w:tcMar>
            <w:vAlign w:val="center"/>
          </w:tcPr>
          <w:p w14:paraId="6E2AB1B6">
            <w:pPr>
              <w:spacing w:after="0" w:line="264"/>
            </w:pPr>
            <w:r>
              <w:rPr>
                <w:rFonts w:ascii="Arial" w:hAnsi="Arial" w:eastAsia="Arial" w:cs="Arial"/>
                <w:color w:val="000000"/>
                <w:sz w:val="22"/>
                <w:szCs w:val="22"/>
              </w:rPr>
              <w:t>RN-02</w:t>
            </w:r>
          </w:p>
        </w:tc>
        <w:tc>
          <w:tcPr>
            <w:tcW w:w="8160" w:type="dxa"/>
            <w:tcBorders>
              <w:top w:val="single" w:sz="4" w:color="000000"/>
              <w:left w:val="single" w:sz="4" w:color="000000"/>
              <w:bottom w:val="single" w:sz="4" w:color="000000"/>
              <w:right w:val="single" w:sz="4" w:color="000000"/>
            </w:tcBorders>
            <w:tcMar>
              <w:top w:w="60" w:type="dxa"/>
              <w:left w:w="100" w:type="dxa"/>
              <w:bottom w:w="60" w:type="dxa"/>
              <w:right w:w="100" w:type="dxa"/>
            </w:tcMar>
            <w:vAlign w:val="center"/>
          </w:tcPr>
          <w:p w14:paraId="4FFB8788">
            <w:pPr>
              <w:spacing w:after="0" w:line="264"/>
            </w:pPr>
            <w:r>
              <w:rPr>
                <w:rFonts w:ascii="Arial" w:hAnsi="Arial" w:eastAsia="Arial" w:cs="Arial"/>
                <w:color w:val="000000"/>
                <w:sz w:val="22"/>
                <w:szCs w:val="22"/>
              </w:rPr>
              <w:t>Toda hora iniciada se cobra completa, con un mínimo de una hora (ver RN-17).</w:t>
            </w:r>
          </w:p>
        </w:tc>
      </w:tr>
      <w:tr>
        <w:trPr>
          <w:cantSplit/>
        </w:trPr>
        <w:tc>
          <w:tcPr>
            <w:tcW w:w="1200" w:type="dxa"/>
            <w:tcBorders>
              <w:top w:val="single" w:sz="4" w:color="000000"/>
              <w:left w:val="single" w:sz="4" w:color="000000"/>
              <w:bottom w:val="single" w:sz="4" w:color="000000"/>
              <w:right w:val="single" w:sz="4" w:color="000000"/>
            </w:tcBorders>
            <w:tcMar>
              <w:top w:w="60" w:type="dxa"/>
              <w:left w:w="100" w:type="dxa"/>
              <w:bottom w:w="60" w:type="dxa"/>
              <w:right w:w="100" w:type="dxa"/>
            </w:tcMar>
            <w:vAlign w:val="center"/>
          </w:tcPr>
          <w:p w14:paraId="1ABCF676">
            <w:pPr>
              <w:spacing w:after="0" w:line="264"/>
            </w:pPr>
            <w:r>
              <w:rPr>
                <w:rFonts w:ascii="Arial" w:hAnsi="Arial" w:eastAsia="Arial" w:cs="Arial"/>
                <w:color w:val="000000"/>
                <w:sz w:val="22"/>
                <w:szCs w:val="22"/>
              </w:rPr>
              <w:t>RN-03</w:t>
            </w:r>
          </w:p>
        </w:tc>
        <w:tc>
          <w:tcPr>
            <w:tcW w:w="8160" w:type="dxa"/>
            <w:tcBorders>
              <w:top w:val="single" w:sz="4" w:color="000000"/>
              <w:left w:val="single" w:sz="4" w:color="000000"/>
              <w:bottom w:val="single" w:sz="4" w:color="000000"/>
              <w:right w:val="single" w:sz="4" w:color="000000"/>
            </w:tcBorders>
            <w:tcMar>
              <w:top w:w="60" w:type="dxa"/>
              <w:left w:w="100" w:type="dxa"/>
              <w:bottom w:w="60" w:type="dxa"/>
              <w:right w:w="100" w:type="dxa"/>
            </w:tcMar>
            <w:vAlign w:val="center"/>
          </w:tcPr>
          <w:p w14:paraId="43A3BD2D">
            <w:pPr>
              <w:spacing w:after="0" w:line="264"/>
            </w:pPr>
            <w:r>
              <w:rPr>
                <w:rFonts w:ascii="Arial" w:hAnsi="Arial" w:eastAsia="Arial" w:cs="Arial"/>
                <w:color w:val="000000"/>
                <w:sz w:val="22"/>
                <w:szCs w:val="22"/>
              </w:rPr>
              <w:t>Los tipos de vehículo y sus tarifas son configurables por el Administrador; agregar un tipo o cambiar una tarifa no requiere modificar el software.</w:t>
            </w:r>
          </w:p>
        </w:tc>
      </w:tr>
      <w:tr>
        <w:trPr>
          <w:cantSplit/>
        </w:trPr>
        <w:tc>
          <w:tcPr>
            <w:tcW w:w="1200" w:type="dxa"/>
            <w:tcBorders>
              <w:top w:val="single" w:sz="4" w:color="000000"/>
              <w:left w:val="single" w:sz="4" w:color="000000"/>
              <w:bottom w:val="single" w:sz="4" w:color="000000"/>
              <w:right w:val="single" w:sz="4" w:color="000000"/>
            </w:tcBorders>
            <w:tcMar>
              <w:top w:w="60" w:type="dxa"/>
              <w:left w:w="100" w:type="dxa"/>
              <w:bottom w:w="60" w:type="dxa"/>
              <w:right w:w="100" w:type="dxa"/>
            </w:tcMar>
            <w:vAlign w:val="center"/>
          </w:tcPr>
          <w:p w14:paraId="02F257B7">
            <w:pPr>
              <w:spacing w:after="0" w:line="264"/>
            </w:pPr>
            <w:r>
              <w:rPr>
                <w:rFonts w:ascii="Arial" w:hAnsi="Arial" w:eastAsia="Arial" w:cs="Arial"/>
                <w:color w:val="000000"/>
                <w:sz w:val="22"/>
                <w:szCs w:val="22"/>
              </w:rPr>
              <w:t>RN-04</w:t>
            </w:r>
          </w:p>
        </w:tc>
        <w:tc>
          <w:tcPr>
            <w:tcW w:w="8160" w:type="dxa"/>
            <w:tcBorders>
              <w:top w:val="single" w:sz="4" w:color="000000"/>
              <w:left w:val="single" w:sz="4" w:color="000000"/>
              <w:bottom w:val="single" w:sz="4" w:color="000000"/>
              <w:right w:val="single" w:sz="4" w:color="000000"/>
            </w:tcBorders>
            <w:tcMar>
              <w:top w:w="60" w:type="dxa"/>
              <w:left w:w="100" w:type="dxa"/>
              <w:bottom w:w="60" w:type="dxa"/>
              <w:right w:w="100" w:type="dxa"/>
            </w:tcMar>
            <w:vAlign w:val="center"/>
          </w:tcPr>
          <w:p w14:paraId="6807FA51">
            <w:pPr>
              <w:spacing w:after="0" w:line="264"/>
            </w:pPr>
            <w:r>
              <w:rPr>
                <w:rFonts w:ascii="Arial" w:hAnsi="Arial" w:eastAsia="Arial" w:cs="Arial"/>
                <w:color w:val="000000"/>
                <w:sz w:val="22"/>
                <w:szCs w:val="22"/>
              </w:rPr>
              <w:t>Las tarifas tienen vigencia (fecha de inicio y fin). Un cambio de tarifa cierra la vigente y crea una nueva; nunca se sobrescribe. Solo puede haber una tarifa vigente por tipo de vehículo.</w:t>
            </w:r>
          </w:p>
        </w:tc>
      </w:tr>
      <w:tr>
        <w:trPr>
          <w:cantSplit/>
        </w:trPr>
        <w:tc>
          <w:tcPr>
            <w:tcW w:w="1200" w:type="dxa"/>
            <w:tcBorders>
              <w:top w:val="single" w:sz="4" w:color="000000"/>
              <w:left w:val="single" w:sz="4" w:color="000000"/>
              <w:bottom w:val="single" w:sz="4" w:color="000000"/>
              <w:right w:val="single" w:sz="4" w:color="000000"/>
            </w:tcBorders>
            <w:tcMar>
              <w:top w:w="60" w:type="dxa"/>
              <w:left w:w="100" w:type="dxa"/>
              <w:bottom w:w="60" w:type="dxa"/>
              <w:right w:w="100" w:type="dxa"/>
            </w:tcMar>
            <w:vAlign w:val="center"/>
          </w:tcPr>
          <w:p w14:paraId="33CFA6B2">
            <w:pPr>
              <w:spacing w:after="0" w:line="264"/>
            </w:pPr>
            <w:r>
              <w:rPr>
                <w:rFonts w:ascii="Arial" w:hAnsi="Arial" w:eastAsia="Arial" w:cs="Arial"/>
                <w:color w:val="000000"/>
                <w:sz w:val="22"/>
                <w:szCs w:val="22"/>
              </w:rPr>
              <w:t>RN-05</w:t>
            </w:r>
          </w:p>
        </w:tc>
        <w:tc>
          <w:tcPr>
            <w:tcW w:w="8160" w:type="dxa"/>
            <w:tcBorders>
              <w:top w:val="single" w:sz="4" w:color="000000"/>
              <w:left w:val="single" w:sz="4" w:color="000000"/>
              <w:bottom w:val="single" w:sz="4" w:color="000000"/>
              <w:right w:val="single" w:sz="4" w:color="000000"/>
            </w:tcBorders>
            <w:tcMar>
              <w:top w:w="60" w:type="dxa"/>
              <w:left w:w="100" w:type="dxa"/>
              <w:bottom w:w="60" w:type="dxa"/>
              <w:right w:w="100" w:type="dxa"/>
            </w:tcMar>
            <w:vAlign w:val="center"/>
          </w:tcPr>
          <w:p w14:paraId="1D1C698D">
            <w:pPr>
              <w:spacing w:after="0" w:line="264"/>
            </w:pPr>
            <w:r>
              <w:rPr>
                <w:rFonts w:ascii="Arial" w:hAnsi="Arial" w:eastAsia="Arial" w:cs="Arial"/>
                <w:color w:val="000000"/>
                <w:sz w:val="22"/>
                <w:szCs w:val="22"/>
              </w:rPr>
              <w:t>Un vehículo se identifica por su placa, y su tipo se registra una sola vez. No se almacenan datos personales del propietario.</w:t>
            </w:r>
          </w:p>
        </w:tc>
      </w:tr>
      <w:tr>
        <w:trPr>
          <w:cantSplit/>
        </w:trPr>
        <w:tc>
          <w:tcPr>
            <w:tcW w:w="1200" w:type="dxa"/>
            <w:tcBorders>
              <w:top w:val="single" w:sz="4" w:color="000000"/>
              <w:left w:val="single" w:sz="4" w:color="000000"/>
              <w:bottom w:val="single" w:sz="4" w:color="000000"/>
              <w:right w:val="single" w:sz="4" w:color="000000"/>
            </w:tcBorders>
            <w:tcMar>
              <w:top w:w="60" w:type="dxa"/>
              <w:left w:w="100" w:type="dxa"/>
              <w:bottom w:w="60" w:type="dxa"/>
              <w:right w:w="100" w:type="dxa"/>
            </w:tcMar>
            <w:vAlign w:val="center"/>
          </w:tcPr>
          <w:p w14:paraId="6967478E">
            <w:pPr>
              <w:spacing w:after="0" w:line="264"/>
            </w:pPr>
            <w:r>
              <w:rPr>
                <w:rFonts w:ascii="Arial" w:hAnsi="Arial" w:eastAsia="Arial" w:cs="Arial"/>
                <w:color w:val="000000"/>
                <w:sz w:val="22"/>
                <w:szCs w:val="22"/>
              </w:rPr>
              <w:t>RN-06</w:t>
            </w:r>
          </w:p>
        </w:tc>
        <w:tc>
          <w:tcPr>
            <w:tcW w:w="8160" w:type="dxa"/>
            <w:tcBorders>
              <w:top w:val="single" w:sz="4" w:color="000000"/>
              <w:left w:val="single" w:sz="4" w:color="000000"/>
              <w:bottom w:val="single" w:sz="4" w:color="000000"/>
              <w:right w:val="single" w:sz="4" w:color="000000"/>
            </w:tcBorders>
            <w:tcMar>
              <w:top w:w="60" w:type="dxa"/>
              <w:left w:w="100" w:type="dxa"/>
              <w:bottom w:w="60" w:type="dxa"/>
              <w:right w:w="100" w:type="dxa"/>
            </w:tcMar>
            <w:vAlign w:val="center"/>
          </w:tcPr>
          <w:p w14:paraId="118FD2CB">
            <w:pPr>
              <w:spacing w:after="0" w:line="264"/>
            </w:pPr>
            <w:r>
              <w:rPr>
                <w:rFonts w:ascii="Arial" w:hAnsi="Arial" w:eastAsia="Arial" w:cs="Arial"/>
                <w:color w:val="000000"/>
                <w:sz w:val="22"/>
                <w:szCs w:val="22"/>
              </w:rPr>
              <w:t>Si la placa no está registrada al momento del ingreso, el vehículo se registra dentro del mismo proceso de ingreso.</w:t>
            </w:r>
          </w:p>
        </w:tc>
      </w:tr>
      <w:tr>
        <w:trPr>
          <w:cantSplit/>
        </w:trPr>
        <w:tc>
          <w:tcPr>
            <w:tcW w:w="1200" w:type="dxa"/>
            <w:tcBorders>
              <w:top w:val="single" w:sz="4" w:color="000000"/>
              <w:left w:val="single" w:sz="4" w:color="000000"/>
              <w:bottom w:val="single" w:sz="4" w:color="000000"/>
              <w:right w:val="single" w:sz="4" w:color="000000"/>
            </w:tcBorders>
            <w:tcMar>
              <w:top w:w="60" w:type="dxa"/>
              <w:left w:w="100" w:type="dxa"/>
              <w:bottom w:w="60" w:type="dxa"/>
              <w:right w:w="100" w:type="dxa"/>
            </w:tcMar>
            <w:vAlign w:val="center"/>
          </w:tcPr>
          <w:p w14:paraId="4084C770">
            <w:pPr>
              <w:spacing w:after="0" w:line="264"/>
            </w:pPr>
            <w:r>
              <w:rPr>
                <w:rFonts w:ascii="Arial" w:hAnsi="Arial" w:eastAsia="Arial" w:cs="Arial"/>
                <w:color w:val="000000"/>
                <w:sz w:val="22"/>
                <w:szCs w:val="22"/>
              </w:rPr>
              <w:t>RN-07</w:t>
            </w:r>
          </w:p>
        </w:tc>
        <w:tc>
          <w:tcPr>
            <w:tcW w:w="8160" w:type="dxa"/>
            <w:tcBorders>
              <w:top w:val="single" w:sz="4" w:color="000000"/>
              <w:left w:val="single" w:sz="4" w:color="000000"/>
              <w:bottom w:val="single" w:sz="4" w:color="000000"/>
              <w:right w:val="single" w:sz="4" w:color="000000"/>
            </w:tcBorders>
            <w:tcMar>
              <w:top w:w="60" w:type="dxa"/>
              <w:left w:w="100" w:type="dxa"/>
              <w:bottom w:w="60" w:type="dxa"/>
              <w:right w:w="100" w:type="dxa"/>
            </w:tcMar>
            <w:vAlign w:val="center"/>
          </w:tcPr>
          <w:p w14:paraId="35D506C9">
            <w:pPr>
              <w:spacing w:after="0" w:line="264"/>
            </w:pPr>
            <w:r>
              <w:rPr>
                <w:rFonts w:ascii="Arial" w:hAnsi="Arial" w:eastAsia="Arial" w:cs="Arial"/>
                <w:color w:val="000000"/>
                <w:sz w:val="22"/>
                <w:szCs w:val="22"/>
              </w:rPr>
              <w:t>Toda estadía pasa por tres estados: Dentro (al registrar el ingreso), Pendiente de pago (al registrar la salida) y Cerrada (al confirmarse el pago).</w:t>
            </w:r>
          </w:p>
        </w:tc>
      </w:tr>
      <w:tr>
        <w:trPr>
          <w:cantSplit/>
        </w:trPr>
        <w:tc>
          <w:tcPr>
            <w:tcW w:w="1200" w:type="dxa"/>
            <w:tcBorders>
              <w:top w:val="single" w:sz="4" w:color="000000"/>
              <w:left w:val="single" w:sz="4" w:color="000000"/>
              <w:bottom w:val="single" w:sz="4" w:color="000000"/>
              <w:right w:val="single" w:sz="4" w:color="000000"/>
            </w:tcBorders>
            <w:tcMar>
              <w:top w:w="60" w:type="dxa"/>
              <w:left w:w="100" w:type="dxa"/>
              <w:bottom w:w="60" w:type="dxa"/>
              <w:right w:w="100" w:type="dxa"/>
            </w:tcMar>
            <w:vAlign w:val="center"/>
          </w:tcPr>
          <w:p w14:paraId="5B9E495C">
            <w:pPr>
              <w:spacing w:after="0" w:line="264"/>
            </w:pPr>
            <w:r>
              <w:rPr>
                <w:rFonts w:ascii="Arial" w:hAnsi="Arial" w:eastAsia="Arial" w:cs="Arial"/>
                <w:color w:val="000000"/>
                <w:sz w:val="22"/>
                <w:szCs w:val="22"/>
              </w:rPr>
              <w:t>RN-08</w:t>
            </w:r>
          </w:p>
        </w:tc>
        <w:tc>
          <w:tcPr>
            <w:tcW w:w="8160" w:type="dxa"/>
            <w:tcBorders>
              <w:top w:val="single" w:sz="4" w:color="000000"/>
              <w:left w:val="single" w:sz="4" w:color="000000"/>
              <w:bottom w:val="single" w:sz="4" w:color="000000"/>
              <w:right w:val="single" w:sz="4" w:color="000000"/>
            </w:tcBorders>
            <w:tcMar>
              <w:top w:w="60" w:type="dxa"/>
              <w:left w:w="100" w:type="dxa"/>
              <w:bottom w:w="60" w:type="dxa"/>
              <w:right w:w="100" w:type="dxa"/>
            </w:tcMar>
            <w:vAlign w:val="center"/>
          </w:tcPr>
          <w:p w14:paraId="141471F4">
            <w:pPr>
              <w:spacing w:after="0" w:line="264"/>
            </w:pPr>
            <w:r>
              <w:rPr>
                <w:rFonts w:ascii="Arial" w:hAnsi="Arial" w:eastAsia="Arial" w:cs="Arial"/>
                <w:color w:val="000000"/>
                <w:sz w:val="22"/>
                <w:szCs w:val="22"/>
              </w:rPr>
              <w:t>Un vehículo con una estadía en estado Dentro o Pendiente de pago no puede registrar un nuevo ingreso. En consecuencia, si un vehículo abandona las instalaciones sin pagar, su placa queda bloqueada para nuevos ingresos hasta que la estadía se pague.</w:t>
            </w:r>
          </w:p>
        </w:tc>
      </w:tr>
      <w:tr>
        <w:trPr>
          <w:cantSplit/>
        </w:trPr>
        <w:tc>
          <w:tcPr>
            <w:tcW w:w="1200" w:type="dxa"/>
            <w:tcBorders>
              <w:top w:val="single" w:sz="4" w:color="000000"/>
              <w:left w:val="single" w:sz="4" w:color="000000"/>
              <w:bottom w:val="single" w:sz="4" w:color="000000"/>
              <w:right w:val="single" w:sz="4" w:color="000000"/>
            </w:tcBorders>
            <w:tcMar>
              <w:top w:w="60" w:type="dxa"/>
              <w:left w:w="100" w:type="dxa"/>
              <w:bottom w:w="60" w:type="dxa"/>
              <w:right w:w="100" w:type="dxa"/>
            </w:tcMar>
            <w:vAlign w:val="center"/>
          </w:tcPr>
          <w:p w14:paraId="4875300F">
            <w:pPr>
              <w:spacing w:after="0" w:line="264"/>
            </w:pPr>
            <w:r>
              <w:rPr>
                <w:rFonts w:ascii="Arial" w:hAnsi="Arial" w:eastAsia="Arial" w:cs="Arial"/>
                <w:color w:val="000000"/>
                <w:sz w:val="22"/>
                <w:szCs w:val="22"/>
              </w:rPr>
              <w:t>RN-09</w:t>
            </w:r>
          </w:p>
        </w:tc>
        <w:tc>
          <w:tcPr>
            <w:tcW w:w="8160" w:type="dxa"/>
            <w:tcBorders>
              <w:top w:val="single" w:sz="4" w:color="000000"/>
              <w:left w:val="single" w:sz="4" w:color="000000"/>
              <w:bottom w:val="single" w:sz="4" w:color="000000"/>
              <w:right w:val="single" w:sz="4" w:color="000000"/>
            </w:tcBorders>
            <w:tcMar>
              <w:top w:w="60" w:type="dxa"/>
              <w:left w:w="100" w:type="dxa"/>
              <w:bottom w:w="60" w:type="dxa"/>
              <w:right w:w="100" w:type="dxa"/>
            </w:tcMar>
            <w:vAlign w:val="center"/>
          </w:tcPr>
          <w:p w14:paraId="17BFD997">
            <w:pPr>
              <w:spacing w:after="0" w:line="264"/>
            </w:pPr>
            <w:r>
              <w:rPr>
                <w:rFonts w:ascii="Arial" w:hAnsi="Arial" w:eastAsia="Arial" w:cs="Arial"/>
                <w:color w:val="000000"/>
                <w:sz w:val="22"/>
                <w:szCs w:val="22"/>
              </w:rPr>
              <w:t>Solo el Personal puede registrar la salida. Al hacerlo, se fijan la hora de salida y el valor total definitivo.</w:t>
            </w:r>
          </w:p>
        </w:tc>
      </w:tr>
      <w:tr>
        <w:trPr>
          <w:cantSplit/>
        </w:trPr>
        <w:tc>
          <w:tcPr>
            <w:tcW w:w="1200" w:type="dxa"/>
            <w:tcBorders>
              <w:top w:val="single" w:sz="4" w:color="000000"/>
              <w:left w:val="single" w:sz="4" w:color="000000"/>
              <w:bottom w:val="single" w:sz="4" w:color="000000"/>
              <w:right w:val="single" w:sz="4" w:color="000000"/>
            </w:tcBorders>
            <w:tcMar>
              <w:top w:w="60" w:type="dxa"/>
              <w:left w:w="100" w:type="dxa"/>
              <w:bottom w:w="60" w:type="dxa"/>
              <w:right w:w="100" w:type="dxa"/>
            </w:tcMar>
            <w:vAlign w:val="center"/>
          </w:tcPr>
          <w:p w14:paraId="7768FA50">
            <w:pPr>
              <w:spacing w:after="0" w:line="264"/>
            </w:pPr>
            <w:r>
              <w:rPr>
                <w:rFonts w:ascii="Arial" w:hAnsi="Arial" w:eastAsia="Arial" w:cs="Arial"/>
                <w:color w:val="000000"/>
                <w:sz w:val="22"/>
                <w:szCs w:val="22"/>
              </w:rPr>
              <w:t>RN-10</w:t>
            </w:r>
          </w:p>
        </w:tc>
        <w:tc>
          <w:tcPr>
            <w:tcW w:w="8160" w:type="dxa"/>
            <w:tcBorders>
              <w:top w:val="single" w:sz="4" w:color="000000"/>
              <w:left w:val="single" w:sz="4" w:color="000000"/>
              <w:bottom w:val="single" w:sz="4" w:color="000000"/>
              <w:right w:val="single" w:sz="4" w:color="000000"/>
            </w:tcBorders>
            <w:tcMar>
              <w:top w:w="60" w:type="dxa"/>
              <w:left w:w="100" w:type="dxa"/>
              <w:bottom w:w="60" w:type="dxa"/>
              <w:right w:w="100" w:type="dxa"/>
            </w:tcMar>
            <w:vAlign w:val="center"/>
          </w:tcPr>
          <w:p w14:paraId="3B266AB7">
            <w:pPr>
              <w:spacing w:after="0" w:line="264"/>
            </w:pPr>
            <w:r>
              <w:rPr>
                <w:rFonts w:ascii="Arial" w:hAnsi="Arial" w:eastAsia="Arial" w:cs="Arial"/>
                <w:color w:val="000000"/>
                <w:sz w:val="22"/>
                <w:szCs w:val="22"/>
              </w:rPr>
              <w:t>Solo se puede pagar una estadía en estado Pendiente de pago, y siempre por el valor total liquidado.</w:t>
            </w:r>
          </w:p>
        </w:tc>
      </w:tr>
      <w:tr>
        <w:trPr>
          <w:cantSplit/>
        </w:trPr>
        <w:tc>
          <w:tcPr>
            <w:tcW w:w="1200" w:type="dxa"/>
            <w:tcBorders>
              <w:top w:val="single" w:sz="4" w:color="000000"/>
              <w:left w:val="single" w:sz="4" w:color="000000"/>
              <w:bottom w:val="single" w:sz="4" w:color="000000"/>
              <w:right w:val="single" w:sz="4" w:color="000000"/>
            </w:tcBorders>
            <w:tcMar>
              <w:top w:w="60" w:type="dxa"/>
              <w:left w:w="100" w:type="dxa"/>
              <w:bottom w:w="60" w:type="dxa"/>
              <w:right w:w="100" w:type="dxa"/>
            </w:tcMar>
            <w:vAlign w:val="center"/>
          </w:tcPr>
          <w:p w14:paraId="71458D79">
            <w:pPr>
              <w:spacing w:after="0" w:line="264"/>
            </w:pPr>
            <w:r>
              <w:rPr>
                <w:rFonts w:ascii="Arial" w:hAnsi="Arial" w:eastAsia="Arial" w:cs="Arial"/>
                <w:color w:val="000000"/>
                <w:sz w:val="22"/>
                <w:szCs w:val="22"/>
              </w:rPr>
              <w:t>RN-11</w:t>
            </w:r>
          </w:p>
        </w:tc>
        <w:tc>
          <w:tcPr>
            <w:tcW w:w="8160" w:type="dxa"/>
            <w:tcBorders>
              <w:top w:val="single" w:sz="4" w:color="000000"/>
              <w:left w:val="single" w:sz="4" w:color="000000"/>
              <w:bottom w:val="single" w:sz="4" w:color="000000"/>
              <w:right w:val="single" w:sz="4" w:color="000000"/>
            </w:tcBorders>
            <w:tcMar>
              <w:top w:w="60" w:type="dxa"/>
              <w:left w:w="100" w:type="dxa"/>
              <w:bottom w:w="60" w:type="dxa"/>
              <w:right w:w="100" w:type="dxa"/>
            </w:tcMar>
            <w:vAlign w:val="center"/>
          </w:tcPr>
          <w:p w14:paraId="3C4729EB">
            <w:pPr>
              <w:spacing w:after="0" w:line="264"/>
            </w:pPr>
            <w:r>
              <w:rPr>
                <w:rFonts w:ascii="Arial" w:hAnsi="Arial" w:eastAsia="Arial" w:cs="Arial"/>
                <w:color w:val="000000"/>
                <w:sz w:val="22"/>
                <w:szCs w:val="22"/>
              </w:rPr>
              <w:t>Cada estadía tiene como máximo un pago, que puede ser en caja o en línea.</w:t>
            </w:r>
          </w:p>
        </w:tc>
      </w:tr>
      <w:tr>
        <w:trPr>
          <w:cantSplit/>
        </w:trPr>
        <w:tc>
          <w:tcPr>
            <w:tcW w:w="1200" w:type="dxa"/>
            <w:tcBorders>
              <w:top w:val="single" w:sz="4" w:color="000000"/>
              <w:left w:val="single" w:sz="4" w:color="000000"/>
              <w:bottom w:val="single" w:sz="4" w:color="000000"/>
              <w:right w:val="single" w:sz="4" w:color="000000"/>
            </w:tcBorders>
            <w:tcMar>
              <w:top w:w="60" w:type="dxa"/>
              <w:left w:w="100" w:type="dxa"/>
              <w:bottom w:w="60" w:type="dxa"/>
              <w:right w:w="100" w:type="dxa"/>
            </w:tcMar>
            <w:vAlign w:val="center"/>
          </w:tcPr>
          <w:p w14:paraId="02BAF19F">
            <w:pPr>
              <w:spacing w:after="0" w:line="264"/>
            </w:pPr>
            <w:r>
              <w:rPr>
                <w:rFonts w:ascii="Arial" w:hAnsi="Arial" w:eastAsia="Arial" w:cs="Arial"/>
                <w:color w:val="000000"/>
                <w:sz w:val="22"/>
                <w:szCs w:val="22"/>
              </w:rPr>
              <w:t>RN-12</w:t>
            </w:r>
          </w:p>
        </w:tc>
        <w:tc>
          <w:tcPr>
            <w:tcW w:w="8160" w:type="dxa"/>
            <w:tcBorders>
              <w:top w:val="single" w:sz="4" w:color="000000"/>
              <w:left w:val="single" w:sz="4" w:color="000000"/>
              <w:bottom w:val="single" w:sz="4" w:color="000000"/>
              <w:right w:val="single" w:sz="4" w:color="000000"/>
            </w:tcBorders>
            <w:tcMar>
              <w:top w:w="60" w:type="dxa"/>
              <w:left w:w="100" w:type="dxa"/>
              <w:bottom w:w="60" w:type="dxa"/>
              <w:right w:w="100" w:type="dxa"/>
            </w:tcMar>
            <w:vAlign w:val="center"/>
          </w:tcPr>
          <w:p w14:paraId="4A88C2E8">
            <w:pPr>
              <w:spacing w:after="0" w:line="264"/>
            </w:pPr>
            <w:r>
              <w:rPr>
                <w:rFonts w:ascii="Arial" w:hAnsi="Arial" w:eastAsia="Arial" w:cs="Arial"/>
                <w:color w:val="000000"/>
                <w:sz w:val="22"/>
                <w:szCs w:val="22"/>
              </w:rPr>
              <w:t>Solo se registran pagos confirmados. Un pago en línea rechazado no cambia el estado de la estadía.</w:t>
            </w:r>
          </w:p>
        </w:tc>
      </w:tr>
      <w:tr>
        <w:trPr>
          <w:cantSplit/>
        </w:trPr>
        <w:tc>
          <w:tcPr>
            <w:tcW w:w="1200" w:type="dxa"/>
            <w:tcBorders>
              <w:top w:val="single" w:sz="4" w:color="000000"/>
              <w:left w:val="single" w:sz="4" w:color="000000"/>
              <w:bottom w:val="single" w:sz="4" w:color="000000"/>
              <w:right w:val="single" w:sz="4" w:color="000000"/>
            </w:tcBorders>
            <w:tcMar>
              <w:top w:w="60" w:type="dxa"/>
              <w:left w:w="100" w:type="dxa"/>
              <w:bottom w:w="60" w:type="dxa"/>
              <w:right w:w="100" w:type="dxa"/>
            </w:tcMar>
            <w:vAlign w:val="center"/>
          </w:tcPr>
          <w:p w14:paraId="6FB9864E">
            <w:pPr>
              <w:spacing w:after="0" w:line="264"/>
            </w:pPr>
            <w:r>
              <w:rPr>
                <w:rFonts w:ascii="Arial" w:hAnsi="Arial" w:eastAsia="Arial" w:cs="Arial"/>
                <w:color w:val="000000"/>
                <w:sz w:val="22"/>
                <w:szCs w:val="22"/>
              </w:rPr>
              <w:t>RN-13</w:t>
            </w:r>
          </w:p>
        </w:tc>
        <w:tc>
          <w:tcPr>
            <w:tcW w:w="8160" w:type="dxa"/>
            <w:tcBorders>
              <w:top w:val="single" w:sz="4" w:color="000000"/>
              <w:left w:val="single" w:sz="4" w:color="000000"/>
              <w:bottom w:val="single" w:sz="4" w:color="000000"/>
              <w:right w:val="single" w:sz="4" w:color="000000"/>
            </w:tcBorders>
            <w:tcMar>
              <w:top w:w="60" w:type="dxa"/>
              <w:left w:w="100" w:type="dxa"/>
              <w:bottom w:w="60" w:type="dxa"/>
              <w:right w:w="100" w:type="dxa"/>
            </w:tcMar>
            <w:vAlign w:val="center"/>
          </w:tcPr>
          <w:p w14:paraId="2FCA7B15">
            <w:pPr>
              <w:spacing w:after="0" w:line="264"/>
            </w:pPr>
            <w:r>
              <w:rPr>
                <w:rFonts w:ascii="Arial" w:hAnsi="Arial" w:eastAsia="Arial" w:cs="Arial"/>
                <w:color w:val="000000"/>
                <w:sz w:val="22"/>
                <w:szCs w:val="22"/>
              </w:rPr>
              <w:t>Antes de registrar la salida, la consulta del valor muestra un valor estimado a la hora actual; después, muestra el valor definitivo.</w:t>
            </w:r>
          </w:p>
        </w:tc>
      </w:tr>
      <w:tr>
        <w:trPr>
          <w:cantSplit/>
        </w:trPr>
        <w:tc>
          <w:tcPr>
            <w:tcW w:w="1200" w:type="dxa"/>
            <w:tcBorders>
              <w:top w:val="single" w:sz="4" w:color="000000"/>
              <w:left w:val="single" w:sz="4" w:color="000000"/>
              <w:bottom w:val="single" w:sz="4" w:color="000000"/>
              <w:right w:val="single" w:sz="4" w:color="000000"/>
            </w:tcBorders>
            <w:tcMar>
              <w:top w:w="60" w:type="dxa"/>
              <w:left w:w="100" w:type="dxa"/>
              <w:bottom w:w="60" w:type="dxa"/>
              <w:right w:w="100" w:type="dxa"/>
            </w:tcMar>
            <w:vAlign w:val="center"/>
          </w:tcPr>
          <w:p w14:paraId="5BCD7436">
            <w:pPr>
              <w:spacing w:after="0" w:line="264"/>
            </w:pPr>
            <w:r>
              <w:rPr>
                <w:rFonts w:ascii="Arial" w:hAnsi="Arial" w:eastAsia="Arial" w:cs="Arial"/>
                <w:color w:val="000000"/>
                <w:sz w:val="22"/>
                <w:szCs w:val="22"/>
              </w:rPr>
              <w:t>RN-14</w:t>
            </w:r>
          </w:p>
        </w:tc>
        <w:tc>
          <w:tcPr>
            <w:tcW w:w="8160" w:type="dxa"/>
            <w:tcBorders>
              <w:top w:val="single" w:sz="4" w:color="000000"/>
              <w:left w:val="single" w:sz="4" w:color="000000"/>
              <w:bottom w:val="single" w:sz="4" w:color="000000"/>
              <w:right w:val="single" w:sz="4" w:color="000000"/>
            </w:tcBorders>
            <w:tcMar>
              <w:top w:w="60" w:type="dxa"/>
              <w:left w:w="100" w:type="dxa"/>
              <w:bottom w:w="60" w:type="dxa"/>
              <w:right w:w="100" w:type="dxa"/>
            </w:tcMar>
            <w:vAlign w:val="center"/>
          </w:tcPr>
          <w:p w14:paraId="67BF5226">
            <w:pPr>
              <w:spacing w:after="0" w:line="264"/>
            </w:pPr>
            <w:r>
              <w:rPr>
                <w:rFonts w:ascii="Arial" w:hAnsi="Arial" w:eastAsia="Arial" w:cs="Arial"/>
                <w:color w:val="000000"/>
                <w:sz w:val="22"/>
                <w:szCs w:val="22"/>
              </w:rPr>
              <w:t>Los tipos de vehículo no se eliminan, solo se desactivan, para conservar el historial.</w:t>
            </w:r>
          </w:p>
        </w:tc>
      </w:tr>
      <w:tr>
        <w:trPr>
          <w:cantSplit/>
        </w:trPr>
        <w:tc>
          <w:tcPr>
            <w:tcW w:w="1200" w:type="dxa"/>
            <w:tcBorders>
              <w:top w:val="single" w:sz="4" w:color="000000"/>
              <w:left w:val="single" w:sz="4" w:color="000000"/>
              <w:bottom w:val="single" w:sz="4" w:color="000000"/>
              <w:right w:val="single" w:sz="4" w:color="000000"/>
            </w:tcBorders>
            <w:tcMar>
              <w:top w:w="60" w:type="dxa"/>
              <w:left w:w="100" w:type="dxa"/>
              <w:bottom w:w="60" w:type="dxa"/>
              <w:right w:w="100" w:type="dxa"/>
            </w:tcMar>
            <w:vAlign w:val="center"/>
          </w:tcPr>
          <w:p w14:paraId="3E391004">
            <w:pPr>
              <w:spacing w:after="0" w:line="264"/>
            </w:pPr>
            <w:r>
              <w:rPr>
                <w:rFonts w:ascii="Arial" w:hAnsi="Arial" w:eastAsia="Arial" w:cs="Arial"/>
                <w:color w:val="000000"/>
                <w:sz w:val="22"/>
                <w:szCs w:val="22"/>
              </w:rPr>
              <w:t>RN-15</w:t>
            </w:r>
          </w:p>
        </w:tc>
        <w:tc>
          <w:tcPr>
            <w:tcW w:w="8160" w:type="dxa"/>
            <w:tcBorders>
              <w:top w:val="single" w:sz="4" w:color="000000"/>
              <w:left w:val="single" w:sz="4" w:color="000000"/>
              <w:bottom w:val="single" w:sz="4" w:color="000000"/>
              <w:right w:val="single" w:sz="4" w:color="000000"/>
            </w:tcBorders>
            <w:tcMar>
              <w:top w:w="60" w:type="dxa"/>
              <w:left w:w="100" w:type="dxa"/>
              <w:bottom w:w="60" w:type="dxa"/>
              <w:right w:w="100" w:type="dxa"/>
            </w:tcMar>
            <w:vAlign w:val="center"/>
          </w:tcPr>
          <w:p w14:paraId="57E8781C">
            <w:pPr>
              <w:spacing w:after="0" w:line="264"/>
            </w:pPr>
            <w:r>
              <w:rPr>
                <w:rFonts w:ascii="Arial" w:hAnsi="Arial" w:eastAsia="Arial" w:cs="Arial"/>
                <w:color w:val="000000"/>
                <w:sz w:val="22"/>
                <w:szCs w:val="22"/>
              </w:rPr>
              <w:t>Al crear un tipo de vehículo se debe registrar su tarifa inicial. No puede existir un tipo de vehículo activo sin tarifa vigente.</w:t>
            </w:r>
          </w:p>
        </w:tc>
      </w:tr>
      <w:tr>
        <w:trPr>
          <w:cantSplit/>
        </w:trPr>
        <w:tc>
          <w:tcPr>
            <w:tcW w:w="1200" w:type="dxa"/>
            <w:tcBorders>
              <w:top w:val="single" w:sz="4" w:color="000000"/>
              <w:left w:val="single" w:sz="4" w:color="000000"/>
              <w:bottom w:val="single" w:sz="4" w:color="000000"/>
              <w:right w:val="single" w:sz="4" w:color="000000"/>
            </w:tcBorders>
            <w:tcMar>
              <w:top w:w="60" w:type="dxa"/>
              <w:left w:w="100" w:type="dxa"/>
              <w:bottom w:w="60" w:type="dxa"/>
              <w:right w:w="100" w:type="dxa"/>
            </w:tcMar>
            <w:vAlign w:val="center"/>
          </w:tcPr>
          <w:p w14:paraId="5AA47466">
            <w:pPr>
              <w:spacing w:after="0" w:line="264"/>
            </w:pPr>
            <w:r>
              <w:rPr>
                <w:rFonts w:ascii="Arial" w:hAnsi="Arial" w:eastAsia="Arial" w:cs="Arial"/>
                <w:color w:val="000000"/>
                <w:sz w:val="22"/>
                <w:szCs w:val="22"/>
              </w:rPr>
              <w:t>RN-16</w:t>
            </w:r>
          </w:p>
        </w:tc>
        <w:tc>
          <w:tcPr>
            <w:tcW w:w="8160" w:type="dxa"/>
            <w:tcBorders>
              <w:top w:val="single" w:sz="4" w:color="000000"/>
              <w:left w:val="single" w:sz="4" w:color="000000"/>
              <w:bottom w:val="single" w:sz="4" w:color="000000"/>
              <w:right w:val="single" w:sz="4" w:color="000000"/>
            </w:tcBorders>
            <w:tcMar>
              <w:top w:w="60" w:type="dxa"/>
              <w:left w:w="100" w:type="dxa"/>
              <w:bottom w:w="60" w:type="dxa"/>
              <w:right w:w="100" w:type="dxa"/>
            </w:tcMar>
            <w:vAlign w:val="center"/>
          </w:tcPr>
          <w:p w14:paraId="4514C890">
            <w:pPr>
              <w:spacing w:after="0" w:line="264"/>
            </w:pPr>
            <w:r>
              <w:rPr>
                <w:rFonts w:ascii="Arial" w:hAnsi="Arial" w:eastAsia="Arial" w:cs="Arial"/>
                <w:color w:val="000000"/>
                <w:sz w:val="22"/>
                <w:szCs w:val="22"/>
              </w:rPr>
              <w:t>No se pueden registrar vehículos ni ingresos de un tipo de vehículo inactivo. Las estadías en curso de ese tipo terminan normalmente.</w:t>
            </w:r>
          </w:p>
        </w:tc>
      </w:tr>
      <w:tr>
        <w:trPr>
          <w:cantSplit/>
        </w:trPr>
        <w:tc>
          <w:tcPr>
            <w:tcW w:w="1200" w:type="dxa"/>
            <w:tcBorders>
              <w:top w:val="single" w:sz="4" w:color="000000"/>
              <w:left w:val="single" w:sz="4" w:color="000000"/>
              <w:bottom w:val="single" w:sz="4" w:color="000000"/>
              <w:right w:val="single" w:sz="4" w:color="000000"/>
            </w:tcBorders>
            <w:tcMar>
              <w:top w:w="60" w:type="dxa"/>
              <w:left w:w="100" w:type="dxa"/>
              <w:bottom w:w="60" w:type="dxa"/>
              <w:right w:w="100" w:type="dxa"/>
            </w:tcMar>
            <w:vAlign w:val="center"/>
          </w:tcPr>
          <w:p w14:paraId="0D18EF25">
            <w:pPr>
              <w:spacing w:after="0" w:line="264"/>
            </w:pPr>
            <w:r>
              <w:rPr>
                <w:rFonts w:ascii="Arial" w:hAnsi="Arial" w:eastAsia="Arial" w:cs="Arial"/>
                <w:color w:val="000000"/>
                <w:sz w:val="22"/>
                <w:szCs w:val="22"/>
              </w:rPr>
              <w:t>RN-17</w:t>
            </w:r>
          </w:p>
        </w:tc>
        <w:tc>
          <w:tcPr>
            <w:tcW w:w="8160" w:type="dxa"/>
            <w:tcBorders>
              <w:top w:val="single" w:sz="4" w:color="000000"/>
              <w:left w:val="single" w:sz="4" w:color="000000"/>
              <w:bottom w:val="single" w:sz="4" w:color="000000"/>
              <w:right w:val="single" w:sz="4" w:color="000000"/>
            </w:tcBorders>
            <w:tcMar>
              <w:top w:w="60" w:type="dxa"/>
              <w:left w:w="100" w:type="dxa"/>
              <w:bottom w:w="60" w:type="dxa"/>
              <w:right w:w="100" w:type="dxa"/>
            </w:tcMar>
            <w:vAlign w:val="center"/>
          </w:tcPr>
          <w:p w14:paraId="56CFAC3C">
            <w:pPr>
              <w:spacing w:after="0" w:line="264"/>
            </w:pPr>
            <w:r>
              <w:rPr>
                <w:rFonts w:ascii="Arial" w:hAnsi="Arial" w:eastAsia="Arial" w:cs="Arial"/>
                <w:color w:val="000000"/>
                <w:sz w:val="22"/>
                <w:szCs w:val="22"/>
              </w:rPr>
              <w:t>El tiempo de permanencia se calcula en minutos completos (los segundos se descartan). Hasta 60 minutos se cobra 1 hora; de 61 a 120 minutos, 2 horas; y así sucesivamente.</w:t>
            </w:r>
          </w:p>
        </w:tc>
      </w:tr>
      <w:tr>
        <w:trPr>
          <w:cantSplit/>
        </w:trPr>
        <w:tc>
          <w:tcPr>
            <w:tcW w:w="1200" w:type="dxa"/>
            <w:tcBorders>
              <w:top w:val="single" w:sz="4" w:color="000000"/>
              <w:left w:val="single" w:sz="4" w:color="000000"/>
              <w:bottom w:val="single" w:sz="4" w:color="000000"/>
              <w:right w:val="single" w:sz="4" w:color="000000"/>
            </w:tcBorders>
            <w:tcMar>
              <w:top w:w="60" w:type="dxa"/>
              <w:left w:w="100" w:type="dxa"/>
              <w:bottom w:w="60" w:type="dxa"/>
              <w:right w:w="100" w:type="dxa"/>
            </w:tcMar>
            <w:vAlign w:val="center"/>
          </w:tcPr>
          <w:p w14:paraId="7A927141">
            <w:pPr>
              <w:spacing w:after="0" w:line="264"/>
            </w:pPr>
            <w:r>
              <w:rPr>
                <w:rFonts w:ascii="Arial" w:hAnsi="Arial" w:eastAsia="Arial" w:cs="Arial"/>
                <w:color w:val="000000"/>
                <w:sz w:val="22"/>
                <w:szCs w:val="22"/>
              </w:rPr>
              <w:t>RN-18</w:t>
            </w:r>
          </w:p>
        </w:tc>
        <w:tc>
          <w:tcPr>
            <w:tcW w:w="8160" w:type="dxa"/>
            <w:tcBorders>
              <w:top w:val="single" w:sz="4" w:color="000000"/>
              <w:left w:val="single" w:sz="4" w:color="000000"/>
              <w:bottom w:val="single" w:sz="4" w:color="000000"/>
              <w:right w:val="single" w:sz="4" w:color="000000"/>
            </w:tcBorders>
            <w:tcMar>
              <w:top w:w="60" w:type="dxa"/>
              <w:left w:w="100" w:type="dxa"/>
              <w:bottom w:w="60" w:type="dxa"/>
              <w:right w:w="100" w:type="dxa"/>
            </w:tcMar>
            <w:vAlign w:val="center"/>
          </w:tcPr>
          <w:p w14:paraId="62E4469C">
            <w:pPr>
              <w:spacing w:after="0" w:line="264"/>
            </w:pPr>
            <w:r>
              <w:rPr>
                <w:rFonts w:ascii="Arial" w:hAnsi="Arial" w:eastAsia="Arial" w:cs="Arial"/>
                <w:color w:val="000000"/>
                <w:sz w:val="22"/>
                <w:szCs w:val="22"/>
              </w:rPr>
              <w:t>Todo pago en caja registra el empleado que lo recibió. Los pagos en línea no tienen empleado asociado.</w:t>
            </w:r>
          </w:p>
        </w:tc>
      </w:tr>
      <w:tr>
        <w:trPr>
          <w:cantSplit/>
        </w:trPr>
        <w:tc>
          <w:tcPr>
            <w:tcW w:w="1200" w:type="dxa"/>
            <w:tcBorders>
              <w:top w:val="single" w:sz="4" w:color="000000"/>
              <w:left w:val="single" w:sz="4" w:color="000000"/>
              <w:bottom w:val="single" w:sz="4" w:color="000000"/>
              <w:right w:val="single" w:sz="4" w:color="000000"/>
            </w:tcBorders>
            <w:tcMar>
              <w:top w:w="60" w:type="dxa"/>
              <w:left w:w="100" w:type="dxa"/>
              <w:bottom w:w="60" w:type="dxa"/>
              <w:right w:w="100" w:type="dxa"/>
            </w:tcMar>
            <w:vAlign w:val="center"/>
          </w:tcPr>
          <w:p w14:paraId="3F059E4E">
            <w:pPr>
              <w:spacing w:after="0" w:line="264"/>
            </w:pPr>
            <w:r>
              <w:rPr>
                <w:rFonts w:ascii="Arial" w:hAnsi="Arial" w:eastAsia="Arial" w:cs="Arial"/>
                <w:color w:val="000000"/>
                <w:sz w:val="22"/>
                <w:szCs w:val="22"/>
              </w:rPr>
              <w:t>RN-19</w:t>
            </w:r>
          </w:p>
        </w:tc>
        <w:tc>
          <w:tcPr>
            <w:tcW w:w="8160" w:type="dxa"/>
            <w:tcBorders>
              <w:top w:val="single" w:sz="4" w:color="000000"/>
              <w:left w:val="single" w:sz="4" w:color="000000"/>
              <w:bottom w:val="single" w:sz="4" w:color="000000"/>
              <w:right w:val="single" w:sz="4" w:color="000000"/>
            </w:tcBorders>
            <w:tcMar>
              <w:top w:w="60" w:type="dxa"/>
              <w:left w:w="100" w:type="dxa"/>
              <w:bottom w:w="60" w:type="dxa"/>
              <w:right w:w="100" w:type="dxa"/>
            </w:tcMar>
            <w:vAlign w:val="center"/>
          </w:tcPr>
          <w:p w14:paraId="0ADE46AE">
            <w:pPr>
              <w:spacing w:after="0" w:line="264"/>
            </w:pPr>
            <w:r>
              <w:rPr>
                <w:rFonts w:ascii="Arial" w:hAnsi="Arial" w:eastAsia="Arial" w:cs="Arial"/>
                <w:color w:val="000000"/>
                <w:sz w:val="22"/>
                <w:szCs w:val="22"/>
              </w:rPr>
              <w:t>La fecha de inicio de una nueva tarifa no puede ser anterior a la fecha actual. La tarifa vigente se cierra en la fecha de inicio de la nueva.</w:t>
            </w:r>
          </w:p>
        </w:tc>
      </w:tr>
      <w:tr>
        <w:trPr>
          <w:cantSplit/>
        </w:trPr>
        <w:tc>
          <w:tcPr>
            <w:tcW w:w="1200" w:type="dxa"/>
            <w:tcBorders>
              <w:top w:val="single" w:sz="4" w:color="000000"/>
              <w:left w:val="single" w:sz="4" w:color="000000"/>
              <w:bottom w:val="single" w:sz="4" w:color="000000"/>
              <w:right w:val="single" w:sz="4" w:color="000000"/>
            </w:tcBorders>
            <w:tcMar>
              <w:top w:w="60" w:type="dxa"/>
              <w:left w:w="100" w:type="dxa"/>
              <w:bottom w:w="60" w:type="dxa"/>
              <w:right w:w="100" w:type="dxa"/>
            </w:tcMar>
            <w:vAlign w:val="center"/>
          </w:tcPr>
          <w:p w14:paraId="39391C19">
            <w:pPr>
              <w:spacing w:after="0" w:line="264"/>
            </w:pPr>
            <w:r>
              <w:rPr>
                <w:rFonts w:ascii="Arial" w:hAnsi="Arial" w:eastAsia="Arial" w:cs="Arial"/>
                <w:color w:val="000000"/>
                <w:sz w:val="22"/>
                <w:szCs w:val="22"/>
              </w:rPr>
              <w:t>RN-20</w:t>
            </w:r>
          </w:p>
        </w:tc>
        <w:tc>
          <w:tcPr>
            <w:tcW w:w="8160" w:type="dxa"/>
            <w:tcBorders>
              <w:top w:val="single" w:sz="4" w:color="000000"/>
              <w:left w:val="single" w:sz="4" w:color="000000"/>
              <w:bottom w:val="single" w:sz="4" w:color="000000"/>
              <w:right w:val="single" w:sz="4" w:color="000000"/>
            </w:tcBorders>
            <w:tcMar>
              <w:top w:w="60" w:type="dxa"/>
              <w:left w:w="100" w:type="dxa"/>
              <w:bottom w:w="60" w:type="dxa"/>
              <w:right w:w="100" w:type="dxa"/>
            </w:tcMar>
            <w:vAlign w:val="center"/>
          </w:tcPr>
          <w:p w14:paraId="579B5CC8">
            <w:pPr>
              <w:spacing w:after="0" w:line="264"/>
            </w:pPr>
            <w:r>
              <w:rPr>
                <w:rFonts w:ascii="Arial" w:hAnsi="Arial" w:eastAsia="Arial" w:cs="Arial"/>
                <w:color w:val="000000"/>
                <w:sz w:val="22"/>
                <w:szCs w:val="22"/>
              </w:rPr>
              <w:t>Los usuarios del sistema no se eliminan, solo se desactivan. Un usuario inactivo no puede operar el sistema.</w:t>
            </w:r>
          </w:p>
        </w:tc>
      </w:tr>
    </w:tbl>
    <w:p w14:paraId="1E9D78E0">
      <w:pPr>
        <w:pStyle w:val="Heading1"/>
      </w:pPr>
      <w:r>
        <w:rPr>
          <w:rFonts w:ascii="Arial" w:hAnsi="Arial" w:eastAsia="Arial" w:cs="Arial"/>
          <w:b/>
          <w:bCs/>
          <w:color w:val="000000"/>
          <w:sz w:val="28"/>
          <w:szCs w:val="28"/>
        </w:rPr>
        <w:t>5. Modelo de casos de uso nivel 0</w:t>
      </w:r>
    </w:p>
    <w:p w14:paraId="6EAD944E">
      <w:pPr>
        <w:spacing w:after="120" w:line="276"/>
        <w:jc w:val="both"/>
      </w:pPr>
      <w:r>
        <w:rPr>
          <w:rFonts w:ascii="Arial" w:hAnsi="Arial" w:eastAsia="Arial" w:cs="Arial"/>
          <w:color w:val="000000"/>
          <w:sz w:val="22"/>
          <w:szCs w:val="22"/>
        </w:rPr>
        <w:t>El modelo de casos de uso representa las principales funcionalidades del sistema desde el punto de vista de sus actores. Al ser de nivel 0, cada caso de uso corresponde a un objetivo completo del actor; las operaciones de mantenimiento se agrupan en casos de uso de gestión en lugar de desglosarse en crear, editar y eliminar. El inicio de sesión no se incluye como caso de uso porque no es un objetivo del usuario sino una precondición de los demás.</w:t>
      </w:r>
    </w:p>
    <w:p w14:paraId="34C57689">
      <w:pPr>
        <w:pStyle w:val="Heading2"/>
      </w:pPr>
      <w:r>
        <w:rPr>
          <w:rFonts w:ascii="Arial" w:hAnsi="Arial" w:eastAsia="Arial" w:cs="Arial"/>
          <w:b/>
          <w:bCs/>
          <w:color w:val="000000"/>
          <w:sz w:val="24"/>
          <w:szCs w:val="24"/>
        </w:rPr>
        <w:t>5.1 Diagrama de casos de uso</w:t>
      </w:r>
    </w:p>
    <w:p w14:paraId="2A5EE203">
      <w:pPr>
        <w:keepNext/>
        <w:spacing w:before="120" w:after="60"/>
        <w:jc w:val="center"/>
      </w:pPr>
      <w:r>
        <w:drawing>
          <wp:inline distT="0" distB="0" distL="0" distR="0">
            <wp:extent cx="5715000" cy="4972050"/>
            <wp:effectExtent l="0" t="0" r="0" b="0"/>
            <wp:docPr id="100000" name="Figura 1. Diagrama de casos de uso nivel 0" descr="Figura 1. Diagrama de casos de uso nivel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0" name="image100000" descr="Figura 1. Diagrama de casos de uso nivel 0"/>
                    <pic:cNvPicPr/>
                  </pic:nvPicPr>
                  <pic:blipFill>
                    <a:blip r:embed="rId15"/>
                    <a:stretch>
                      <a:fillRect/>
                    </a:stretch>
                  </pic:blipFill>
                  <pic:spPr>
                    <a:xfrm>
                      <a:off x="0" y="0"/>
                      <a:ext cx="5715000" cy="4972050"/>
                    </a:xfrm>
                    <a:prstGeom prst="rect">
                      <a:avLst/>
                    </a:prstGeom>
                  </pic:spPr>
                </pic:pic>
              </a:graphicData>
            </a:graphic>
          </wp:inline>
        </w:drawing>
      </w:r>
    </w:p>
    <w:p w14:paraId="3B5151E3">
      <w:pPr>
        <w:spacing w:after="200"/>
        <w:jc w:val="center"/>
      </w:pPr>
      <w:r>
        <w:rPr>
          <w:rFonts w:ascii="Arial" w:hAnsi="Arial" w:eastAsia="Arial" w:cs="Arial"/>
          <w:b/>
          <w:bCs/>
          <w:color w:val="000000"/>
          <w:sz w:val="20"/>
          <w:szCs w:val="20"/>
        </w:rPr>
        <w:t>Figura 1. Diagrama de casos de uso nivel 0</w:t>
      </w:r>
    </w:p>
    <w:p w14:paraId="297FA470">
      <w:pPr>
        <w:pStyle w:val="Heading2"/>
      </w:pPr>
      <w:r>
        <w:rPr>
          <w:rFonts w:ascii="Arial" w:hAnsi="Arial" w:eastAsia="Arial" w:cs="Arial"/>
          <w:b/>
          <w:bCs/>
          <w:color w:val="000000"/>
          <w:sz w:val="24"/>
          <w:szCs w:val="24"/>
        </w:rPr>
        <w:t>5.2 Resumen de casos de uso por actor</w:t>
      </w:r>
    </w:p>
    <w:tbl>
      <w:tblPr>
        <w:tblW w:w="9360" w:type="dxa"/>
        <w:tblBorders>
          <w:top w:val="single" w:sz="4" w:color="auto"/>
          <w:left w:val="single" w:sz="4" w:color="auto"/>
          <w:bottom w:val="single" w:sz="4" w:color="auto"/>
          <w:right w:val="single" w:sz="4" w:color="auto"/>
          <w:insideH w:val="single" w:sz="4" w:color="auto"/>
          <w:insideV w:val="single" w:sz="4" w:color="auto"/>
        </w:tblBorders>
      </w:tblPr>
      <w:tblGrid>
        <w:gridCol w:w="2000"/>
        <w:gridCol w:w="3800"/>
        <w:gridCol w:w="3560"/>
      </w:tblGrid>
      <w:tr>
        <w:trPr>
          <w:tblHeader/>
        </w:trPr>
        <w:tc>
          <w:tcPr>
            <w:tcW w:w="2000" w:type="dxa"/>
            <w:tcBorders>
              <w:top w:val="single" w:sz="4" w:color="000000"/>
              <w:left w:val="single" w:sz="4" w:color="000000"/>
              <w:bottom w:val="single" w:sz="4" w:color="000000"/>
              <w:right w:val="single" w:sz="4" w:color="000000"/>
            </w:tcBorders>
            <w:tcMar>
              <w:top w:w="60" w:type="dxa"/>
              <w:left w:w="100" w:type="dxa"/>
              <w:bottom w:w="60" w:type="dxa"/>
              <w:right w:w="100" w:type="dxa"/>
            </w:tcMar>
            <w:vAlign w:val="center"/>
          </w:tcPr>
          <w:p w14:paraId="7FD9C6DA">
            <w:pPr>
              <w:spacing w:after="0" w:line="264"/>
            </w:pPr>
            <w:r>
              <w:rPr>
                <w:rFonts w:ascii="Arial" w:hAnsi="Arial" w:eastAsia="Arial" w:cs="Arial"/>
                <w:b/>
                <w:bCs/>
                <w:color w:val="000000"/>
                <w:sz w:val="22"/>
                <w:szCs w:val="22"/>
              </w:rPr>
              <w:t>Actor</w:t>
            </w:r>
          </w:p>
        </w:tc>
        <w:tc>
          <w:tcPr>
            <w:tcW w:w="3800" w:type="dxa"/>
            <w:tcBorders>
              <w:top w:val="single" w:sz="4" w:color="000000"/>
              <w:left w:val="single" w:sz="4" w:color="000000"/>
              <w:bottom w:val="single" w:sz="4" w:color="000000"/>
              <w:right w:val="single" w:sz="4" w:color="000000"/>
            </w:tcBorders>
            <w:tcMar>
              <w:top w:w="60" w:type="dxa"/>
              <w:left w:w="100" w:type="dxa"/>
              <w:bottom w:w="60" w:type="dxa"/>
              <w:right w:w="100" w:type="dxa"/>
            </w:tcMar>
            <w:vAlign w:val="center"/>
          </w:tcPr>
          <w:p w14:paraId="16A4ED7F">
            <w:pPr>
              <w:spacing w:after="0" w:line="264"/>
            </w:pPr>
            <w:r>
              <w:rPr>
                <w:rFonts w:ascii="Arial" w:hAnsi="Arial" w:eastAsia="Arial" w:cs="Arial"/>
                <w:b/>
                <w:bCs/>
                <w:color w:val="000000"/>
                <w:sz w:val="22"/>
                <w:szCs w:val="22"/>
              </w:rPr>
              <w:t>Caso de uso</w:t>
            </w:r>
          </w:p>
        </w:tc>
        <w:tc>
          <w:tcPr>
            <w:tcW w:w="3560" w:type="dxa"/>
            <w:tcBorders>
              <w:top w:val="single" w:sz="4" w:color="000000"/>
              <w:left w:val="single" w:sz="4" w:color="000000"/>
              <w:bottom w:val="single" w:sz="4" w:color="000000"/>
              <w:right w:val="single" w:sz="4" w:color="000000"/>
            </w:tcBorders>
            <w:tcMar>
              <w:top w:w="60" w:type="dxa"/>
              <w:left w:w="100" w:type="dxa"/>
              <w:bottom w:w="60" w:type="dxa"/>
              <w:right w:w="100" w:type="dxa"/>
            </w:tcMar>
            <w:vAlign w:val="center"/>
          </w:tcPr>
          <w:p w14:paraId="419EA451">
            <w:pPr>
              <w:spacing w:after="0" w:line="264"/>
            </w:pPr>
            <w:r>
              <w:rPr>
                <w:rFonts w:ascii="Arial" w:hAnsi="Arial" w:eastAsia="Arial" w:cs="Arial"/>
                <w:b/>
                <w:bCs/>
                <w:color w:val="000000"/>
                <w:sz w:val="22"/>
                <w:szCs w:val="22"/>
              </w:rPr>
              <w:t>Relación</w:t>
            </w:r>
          </w:p>
        </w:tc>
      </w:tr>
      <w:tr>
        <w:trPr>
          <w:cantSplit/>
        </w:trPr>
        <w:tc>
          <w:tcPr>
            <w:tcW w:w="2000" w:type="dxa"/>
            <w:tcBorders>
              <w:top w:val="single" w:sz="4" w:color="000000"/>
              <w:left w:val="single" w:sz="4" w:color="000000"/>
              <w:bottom w:val="single" w:sz="4" w:color="000000"/>
              <w:right w:val="single" w:sz="4" w:color="000000"/>
            </w:tcBorders>
            <w:tcMar>
              <w:top w:w="60" w:type="dxa"/>
              <w:left w:w="100" w:type="dxa"/>
              <w:bottom w:w="60" w:type="dxa"/>
              <w:right w:w="100" w:type="dxa"/>
            </w:tcMar>
            <w:vAlign w:val="center"/>
          </w:tcPr>
          <w:p w14:paraId="4592DE24">
            <w:pPr>
              <w:spacing w:after="0" w:line="264"/>
            </w:pPr>
            <w:r>
              <w:rPr>
                <w:rFonts w:ascii="Arial" w:hAnsi="Arial" w:eastAsia="Arial" w:cs="Arial"/>
                <w:color w:val="000000"/>
                <w:sz w:val="22"/>
                <w:szCs w:val="22"/>
              </w:rPr>
              <w:t>Cliente</w:t>
            </w:r>
          </w:p>
        </w:tc>
        <w:tc>
          <w:tcPr>
            <w:tcW w:w="3800" w:type="dxa"/>
            <w:tcBorders>
              <w:top w:val="single" w:sz="4" w:color="000000"/>
              <w:left w:val="single" w:sz="4" w:color="000000"/>
              <w:bottom w:val="single" w:sz="4" w:color="000000"/>
              <w:right w:val="single" w:sz="4" w:color="000000"/>
            </w:tcBorders>
            <w:tcMar>
              <w:top w:w="60" w:type="dxa"/>
              <w:left w:w="100" w:type="dxa"/>
              <w:bottom w:w="60" w:type="dxa"/>
              <w:right w:w="100" w:type="dxa"/>
            </w:tcMar>
            <w:vAlign w:val="center"/>
          </w:tcPr>
          <w:p w14:paraId="4A08BC9B">
            <w:pPr>
              <w:spacing w:after="0" w:line="264"/>
            </w:pPr>
            <w:r>
              <w:rPr>
                <w:rFonts w:ascii="Arial" w:hAnsi="Arial" w:eastAsia="Arial" w:cs="Arial"/>
                <w:color w:val="000000"/>
                <w:sz w:val="22"/>
                <w:szCs w:val="22"/>
              </w:rPr>
              <w:t>CU-01 Consultar valor a pagar</w:t>
            </w:r>
          </w:p>
        </w:tc>
        <w:tc>
          <w:tcPr>
            <w:tcW w:w="3560" w:type="dxa"/>
            <w:tcBorders>
              <w:top w:val="single" w:sz="4" w:color="000000"/>
              <w:left w:val="single" w:sz="4" w:color="000000"/>
              <w:bottom w:val="single" w:sz="4" w:color="000000"/>
              <w:right w:val="single" w:sz="4" w:color="000000"/>
            </w:tcBorders>
            <w:tcMar>
              <w:top w:w="60" w:type="dxa"/>
              <w:left w:w="100" w:type="dxa"/>
              <w:bottom w:w="60" w:type="dxa"/>
              <w:right w:w="100" w:type="dxa"/>
            </w:tcMar>
            <w:vAlign w:val="center"/>
          </w:tcPr>
          <w:p w14:paraId="6B2213C8">
            <w:pPr>
              <w:spacing w:after="0" w:line="264"/>
            </w:pPr>
            <w:r>
              <w:rPr>
                <w:rFonts w:ascii="Arial" w:hAnsi="Arial" w:eastAsia="Arial" w:cs="Arial"/>
                <w:color w:val="000000"/>
                <w:sz w:val="22"/>
                <w:szCs w:val="22"/>
              </w:rPr>
              <w:t>Incluido por CU-02, CU-05 y CU-06</w:t>
            </w:r>
          </w:p>
        </w:tc>
      </w:tr>
      <w:tr>
        <w:trPr>
          <w:cantSplit/>
        </w:trPr>
        <w:tc>
          <w:tcPr>
            <w:tcW w:w="2000" w:type="dxa"/>
            <w:tcBorders>
              <w:top w:val="single" w:sz="4" w:color="000000"/>
              <w:left w:val="single" w:sz="4" w:color="000000"/>
              <w:bottom w:val="single" w:sz="4" w:color="000000"/>
              <w:right w:val="single" w:sz="4" w:color="000000"/>
            </w:tcBorders>
            <w:tcMar>
              <w:top w:w="60" w:type="dxa"/>
              <w:left w:w="100" w:type="dxa"/>
              <w:bottom w:w="60" w:type="dxa"/>
              <w:right w:w="100" w:type="dxa"/>
            </w:tcMar>
            <w:vAlign w:val="center"/>
          </w:tcPr>
          <w:p w14:paraId="0524D948">
            <w:pPr>
              <w:spacing w:after="0" w:line="264"/>
            </w:pPr>
            <w:r>
              <w:rPr>
                <w:rFonts w:ascii="Arial" w:hAnsi="Arial" w:eastAsia="Arial" w:cs="Arial"/>
                <w:color w:val="000000"/>
                <w:sz w:val="22"/>
                <w:szCs w:val="22"/>
              </w:rPr>
              <w:t>Cliente</w:t>
            </w:r>
          </w:p>
        </w:tc>
        <w:tc>
          <w:tcPr>
            <w:tcW w:w="3800" w:type="dxa"/>
            <w:tcBorders>
              <w:top w:val="single" w:sz="4" w:color="000000"/>
              <w:left w:val="single" w:sz="4" w:color="000000"/>
              <w:bottom w:val="single" w:sz="4" w:color="000000"/>
              <w:right w:val="single" w:sz="4" w:color="000000"/>
            </w:tcBorders>
            <w:tcMar>
              <w:top w:w="60" w:type="dxa"/>
              <w:left w:w="100" w:type="dxa"/>
              <w:bottom w:w="60" w:type="dxa"/>
              <w:right w:w="100" w:type="dxa"/>
            </w:tcMar>
            <w:vAlign w:val="center"/>
          </w:tcPr>
          <w:p w14:paraId="4EE51641">
            <w:pPr>
              <w:spacing w:after="0" w:line="264"/>
            </w:pPr>
            <w:r>
              <w:rPr>
                <w:rFonts w:ascii="Arial" w:hAnsi="Arial" w:eastAsia="Arial" w:cs="Arial"/>
                <w:color w:val="000000"/>
                <w:sz w:val="22"/>
                <w:szCs w:val="22"/>
              </w:rPr>
              <w:t>CU-02 Pagar en línea</w:t>
            </w:r>
          </w:p>
        </w:tc>
        <w:tc>
          <w:tcPr>
            <w:tcW w:w="3560" w:type="dxa"/>
            <w:tcBorders>
              <w:top w:val="single" w:sz="4" w:color="000000"/>
              <w:left w:val="single" w:sz="4" w:color="000000"/>
              <w:bottom w:val="single" w:sz="4" w:color="000000"/>
              <w:right w:val="single" w:sz="4" w:color="000000"/>
            </w:tcBorders>
            <w:tcMar>
              <w:top w:w="60" w:type="dxa"/>
              <w:left w:w="100" w:type="dxa"/>
              <w:bottom w:w="60" w:type="dxa"/>
              <w:right w:w="100" w:type="dxa"/>
            </w:tcMar>
            <w:vAlign w:val="center"/>
          </w:tcPr>
          <w:p w14:paraId="28453BC6">
            <w:pPr>
              <w:spacing w:after="0" w:line="264"/>
            </w:pPr>
            <w:r>
              <w:rPr>
                <w:rFonts w:ascii="Arial" w:hAnsi="Arial" w:eastAsia="Arial" w:cs="Arial"/>
                <w:color w:val="000000"/>
                <w:sz w:val="22"/>
                <w:szCs w:val="22"/>
              </w:rPr>
              <w:t>«include» CU-01</w:t>
            </w:r>
          </w:p>
        </w:tc>
      </w:tr>
      <w:tr>
        <w:trPr>
          <w:cantSplit/>
        </w:trPr>
        <w:tc>
          <w:tcPr>
            <w:tcW w:w="2000" w:type="dxa"/>
            <w:tcBorders>
              <w:top w:val="single" w:sz="4" w:color="000000"/>
              <w:left w:val="single" w:sz="4" w:color="000000"/>
              <w:bottom w:val="single" w:sz="4" w:color="000000"/>
              <w:right w:val="single" w:sz="4" w:color="000000"/>
            </w:tcBorders>
            <w:tcMar>
              <w:top w:w="60" w:type="dxa"/>
              <w:left w:w="100" w:type="dxa"/>
              <w:bottom w:w="60" w:type="dxa"/>
              <w:right w:w="100" w:type="dxa"/>
            </w:tcMar>
            <w:vAlign w:val="center"/>
          </w:tcPr>
          <w:p w14:paraId="5133546E">
            <w:pPr>
              <w:spacing w:after="0" w:line="264"/>
            </w:pPr>
            <w:r>
              <w:rPr>
                <w:rFonts w:ascii="Arial" w:hAnsi="Arial" w:eastAsia="Arial" w:cs="Arial"/>
                <w:color w:val="000000"/>
                <w:sz w:val="22"/>
                <w:szCs w:val="22"/>
              </w:rPr>
              <w:t>Personal</w:t>
            </w:r>
          </w:p>
        </w:tc>
        <w:tc>
          <w:tcPr>
            <w:tcW w:w="3800" w:type="dxa"/>
            <w:tcBorders>
              <w:top w:val="single" w:sz="4" w:color="000000"/>
              <w:left w:val="single" w:sz="4" w:color="000000"/>
              <w:bottom w:val="single" w:sz="4" w:color="000000"/>
              <w:right w:val="single" w:sz="4" w:color="000000"/>
            </w:tcBorders>
            <w:tcMar>
              <w:top w:w="60" w:type="dxa"/>
              <w:left w:w="100" w:type="dxa"/>
              <w:bottom w:w="60" w:type="dxa"/>
              <w:right w:w="100" w:type="dxa"/>
            </w:tcMar>
            <w:vAlign w:val="center"/>
          </w:tcPr>
          <w:p w14:paraId="125903D6">
            <w:pPr>
              <w:spacing w:after="0" w:line="264"/>
            </w:pPr>
            <w:r>
              <w:rPr>
                <w:rFonts w:ascii="Arial" w:hAnsi="Arial" w:eastAsia="Arial" w:cs="Arial"/>
                <w:color w:val="000000"/>
                <w:sz w:val="22"/>
                <w:szCs w:val="22"/>
              </w:rPr>
              <w:t>CU-03 Registrar ingreso</w:t>
            </w:r>
          </w:p>
        </w:tc>
        <w:tc>
          <w:tcPr>
            <w:tcW w:w="3560" w:type="dxa"/>
            <w:tcBorders>
              <w:top w:val="single" w:sz="4" w:color="000000"/>
              <w:left w:val="single" w:sz="4" w:color="000000"/>
              <w:bottom w:val="single" w:sz="4" w:color="000000"/>
              <w:right w:val="single" w:sz="4" w:color="000000"/>
            </w:tcBorders>
            <w:tcMar>
              <w:top w:w="60" w:type="dxa"/>
              <w:left w:w="100" w:type="dxa"/>
              <w:bottom w:w="60" w:type="dxa"/>
              <w:right w:w="100" w:type="dxa"/>
            </w:tcMar>
            <w:vAlign w:val="center"/>
          </w:tcPr>
          <w:p w14:paraId="51BA2E24">
            <w:pPr>
              <w:spacing w:after="0" w:line="264"/>
            </w:pPr>
            <w:r>
              <w:rPr>
                <w:rFonts w:ascii="Arial" w:hAnsi="Arial" w:eastAsia="Arial" w:cs="Arial"/>
                <w:color w:val="000000"/>
                <w:sz w:val="22"/>
                <w:szCs w:val="22"/>
              </w:rPr>
              <w:t>Extendido por CU-04</w:t>
            </w:r>
          </w:p>
        </w:tc>
      </w:tr>
      <w:tr>
        <w:trPr>
          <w:cantSplit/>
        </w:trPr>
        <w:tc>
          <w:tcPr>
            <w:tcW w:w="2000" w:type="dxa"/>
            <w:tcBorders>
              <w:top w:val="single" w:sz="4" w:color="000000"/>
              <w:left w:val="single" w:sz="4" w:color="000000"/>
              <w:bottom w:val="single" w:sz="4" w:color="000000"/>
              <w:right w:val="single" w:sz="4" w:color="000000"/>
            </w:tcBorders>
            <w:tcMar>
              <w:top w:w="60" w:type="dxa"/>
              <w:left w:w="100" w:type="dxa"/>
              <w:bottom w:w="60" w:type="dxa"/>
              <w:right w:w="100" w:type="dxa"/>
            </w:tcMar>
            <w:vAlign w:val="center"/>
          </w:tcPr>
          <w:p w14:paraId="1650E4AB">
            <w:pPr>
              <w:spacing w:after="0" w:line="264"/>
            </w:pPr>
            <w:r>
              <w:rPr>
                <w:rFonts w:ascii="Arial" w:hAnsi="Arial" w:eastAsia="Arial" w:cs="Arial"/>
                <w:color w:val="000000"/>
                <w:sz w:val="22"/>
                <w:szCs w:val="22"/>
              </w:rPr>
              <w:t>Personal</w:t>
            </w:r>
          </w:p>
        </w:tc>
        <w:tc>
          <w:tcPr>
            <w:tcW w:w="3800" w:type="dxa"/>
            <w:tcBorders>
              <w:top w:val="single" w:sz="4" w:color="000000"/>
              <w:left w:val="single" w:sz="4" w:color="000000"/>
              <w:bottom w:val="single" w:sz="4" w:color="000000"/>
              <w:right w:val="single" w:sz="4" w:color="000000"/>
            </w:tcBorders>
            <w:tcMar>
              <w:top w:w="60" w:type="dxa"/>
              <w:left w:w="100" w:type="dxa"/>
              <w:bottom w:w="60" w:type="dxa"/>
              <w:right w:w="100" w:type="dxa"/>
            </w:tcMar>
            <w:vAlign w:val="center"/>
          </w:tcPr>
          <w:p w14:paraId="3EB1DAF2">
            <w:pPr>
              <w:spacing w:after="0" w:line="264"/>
            </w:pPr>
            <w:r>
              <w:rPr>
                <w:rFonts w:ascii="Arial" w:hAnsi="Arial" w:eastAsia="Arial" w:cs="Arial"/>
                <w:color w:val="000000"/>
                <w:sz w:val="22"/>
                <w:szCs w:val="22"/>
              </w:rPr>
              <w:t>CU-04 Registrar vehículo</w:t>
            </w:r>
          </w:p>
        </w:tc>
        <w:tc>
          <w:tcPr>
            <w:tcW w:w="3560" w:type="dxa"/>
            <w:tcBorders>
              <w:top w:val="single" w:sz="4" w:color="000000"/>
              <w:left w:val="single" w:sz="4" w:color="000000"/>
              <w:bottom w:val="single" w:sz="4" w:color="000000"/>
              <w:right w:val="single" w:sz="4" w:color="000000"/>
            </w:tcBorders>
            <w:tcMar>
              <w:top w:w="60" w:type="dxa"/>
              <w:left w:w="100" w:type="dxa"/>
              <w:bottom w:w="60" w:type="dxa"/>
              <w:right w:w="100" w:type="dxa"/>
            </w:tcMar>
            <w:vAlign w:val="center"/>
          </w:tcPr>
          <w:p w14:paraId="515423F2">
            <w:pPr>
              <w:spacing w:after="0" w:line="264"/>
            </w:pPr>
            <w:r>
              <w:rPr>
                <w:rFonts w:ascii="Arial" w:hAnsi="Arial" w:eastAsia="Arial" w:cs="Arial"/>
                <w:color w:val="000000"/>
                <w:sz w:val="22"/>
                <w:szCs w:val="22"/>
              </w:rPr>
              <w:t>«extend» CU-03 [placa no registrada]</w:t>
            </w:r>
          </w:p>
        </w:tc>
      </w:tr>
      <w:tr>
        <w:trPr>
          <w:cantSplit/>
        </w:trPr>
        <w:tc>
          <w:tcPr>
            <w:tcW w:w="2000" w:type="dxa"/>
            <w:tcBorders>
              <w:top w:val="single" w:sz="4" w:color="000000"/>
              <w:left w:val="single" w:sz="4" w:color="000000"/>
              <w:bottom w:val="single" w:sz="4" w:color="000000"/>
              <w:right w:val="single" w:sz="4" w:color="000000"/>
            </w:tcBorders>
            <w:tcMar>
              <w:top w:w="60" w:type="dxa"/>
              <w:left w:w="100" w:type="dxa"/>
              <w:bottom w:w="60" w:type="dxa"/>
              <w:right w:w="100" w:type="dxa"/>
            </w:tcMar>
            <w:vAlign w:val="center"/>
          </w:tcPr>
          <w:p w14:paraId="622C291A">
            <w:pPr>
              <w:spacing w:after="0" w:line="264"/>
            </w:pPr>
            <w:r>
              <w:rPr>
                <w:rFonts w:ascii="Arial" w:hAnsi="Arial" w:eastAsia="Arial" w:cs="Arial"/>
                <w:color w:val="000000"/>
                <w:sz w:val="22"/>
                <w:szCs w:val="22"/>
              </w:rPr>
              <w:t>Personal</w:t>
            </w:r>
          </w:p>
        </w:tc>
        <w:tc>
          <w:tcPr>
            <w:tcW w:w="3800" w:type="dxa"/>
            <w:tcBorders>
              <w:top w:val="single" w:sz="4" w:color="000000"/>
              <w:left w:val="single" w:sz="4" w:color="000000"/>
              <w:bottom w:val="single" w:sz="4" w:color="000000"/>
              <w:right w:val="single" w:sz="4" w:color="000000"/>
            </w:tcBorders>
            <w:tcMar>
              <w:top w:w="60" w:type="dxa"/>
              <w:left w:w="100" w:type="dxa"/>
              <w:bottom w:w="60" w:type="dxa"/>
              <w:right w:w="100" w:type="dxa"/>
            </w:tcMar>
            <w:vAlign w:val="center"/>
          </w:tcPr>
          <w:p w14:paraId="1F2D0B58">
            <w:pPr>
              <w:spacing w:after="0" w:line="264"/>
            </w:pPr>
            <w:r>
              <w:rPr>
                <w:rFonts w:ascii="Arial" w:hAnsi="Arial" w:eastAsia="Arial" w:cs="Arial"/>
                <w:color w:val="000000"/>
                <w:sz w:val="22"/>
                <w:szCs w:val="22"/>
              </w:rPr>
              <w:t>CU-05 Registrar salida</w:t>
            </w:r>
          </w:p>
        </w:tc>
        <w:tc>
          <w:tcPr>
            <w:tcW w:w="3560" w:type="dxa"/>
            <w:tcBorders>
              <w:top w:val="single" w:sz="4" w:color="000000"/>
              <w:left w:val="single" w:sz="4" w:color="000000"/>
              <w:bottom w:val="single" w:sz="4" w:color="000000"/>
              <w:right w:val="single" w:sz="4" w:color="000000"/>
            </w:tcBorders>
            <w:tcMar>
              <w:top w:w="60" w:type="dxa"/>
              <w:left w:w="100" w:type="dxa"/>
              <w:bottom w:w="60" w:type="dxa"/>
              <w:right w:w="100" w:type="dxa"/>
            </w:tcMar>
            <w:vAlign w:val="center"/>
          </w:tcPr>
          <w:p w14:paraId="51387357">
            <w:pPr>
              <w:spacing w:after="0" w:line="264"/>
            </w:pPr>
            <w:r>
              <w:rPr>
                <w:rFonts w:ascii="Arial" w:hAnsi="Arial" w:eastAsia="Arial" w:cs="Arial"/>
                <w:color w:val="000000"/>
                <w:sz w:val="22"/>
                <w:szCs w:val="22"/>
              </w:rPr>
              <w:t>«include» CU-01</w:t>
            </w:r>
          </w:p>
        </w:tc>
      </w:tr>
      <w:tr>
        <w:trPr>
          <w:cantSplit/>
        </w:trPr>
        <w:tc>
          <w:tcPr>
            <w:tcW w:w="2000" w:type="dxa"/>
            <w:tcBorders>
              <w:top w:val="single" w:sz="4" w:color="000000"/>
              <w:left w:val="single" w:sz="4" w:color="000000"/>
              <w:bottom w:val="single" w:sz="4" w:color="000000"/>
              <w:right w:val="single" w:sz="4" w:color="000000"/>
            </w:tcBorders>
            <w:tcMar>
              <w:top w:w="60" w:type="dxa"/>
              <w:left w:w="100" w:type="dxa"/>
              <w:bottom w:w="60" w:type="dxa"/>
              <w:right w:w="100" w:type="dxa"/>
            </w:tcMar>
            <w:vAlign w:val="center"/>
          </w:tcPr>
          <w:p w14:paraId="77CEE172">
            <w:pPr>
              <w:spacing w:after="0" w:line="264"/>
            </w:pPr>
            <w:r>
              <w:rPr>
                <w:rFonts w:ascii="Arial" w:hAnsi="Arial" w:eastAsia="Arial" w:cs="Arial"/>
                <w:color w:val="000000"/>
                <w:sz w:val="22"/>
                <w:szCs w:val="22"/>
              </w:rPr>
              <w:t>Personal</w:t>
            </w:r>
          </w:p>
        </w:tc>
        <w:tc>
          <w:tcPr>
            <w:tcW w:w="3800" w:type="dxa"/>
            <w:tcBorders>
              <w:top w:val="single" w:sz="4" w:color="000000"/>
              <w:left w:val="single" w:sz="4" w:color="000000"/>
              <w:bottom w:val="single" w:sz="4" w:color="000000"/>
              <w:right w:val="single" w:sz="4" w:color="000000"/>
            </w:tcBorders>
            <w:tcMar>
              <w:top w:w="60" w:type="dxa"/>
              <w:left w:w="100" w:type="dxa"/>
              <w:bottom w:w="60" w:type="dxa"/>
              <w:right w:w="100" w:type="dxa"/>
            </w:tcMar>
            <w:vAlign w:val="center"/>
          </w:tcPr>
          <w:p w14:paraId="41611FCE">
            <w:pPr>
              <w:spacing w:after="0" w:line="264"/>
            </w:pPr>
            <w:r>
              <w:rPr>
                <w:rFonts w:ascii="Arial" w:hAnsi="Arial" w:eastAsia="Arial" w:cs="Arial"/>
                <w:color w:val="000000"/>
                <w:sz w:val="22"/>
                <w:szCs w:val="22"/>
              </w:rPr>
              <w:t>CU-06 Registrar pago en caja</w:t>
            </w:r>
          </w:p>
        </w:tc>
        <w:tc>
          <w:tcPr>
            <w:tcW w:w="3560" w:type="dxa"/>
            <w:tcBorders>
              <w:top w:val="single" w:sz="4" w:color="000000"/>
              <w:left w:val="single" w:sz="4" w:color="000000"/>
              <w:bottom w:val="single" w:sz="4" w:color="000000"/>
              <w:right w:val="single" w:sz="4" w:color="000000"/>
            </w:tcBorders>
            <w:tcMar>
              <w:top w:w="60" w:type="dxa"/>
              <w:left w:w="100" w:type="dxa"/>
              <w:bottom w:w="60" w:type="dxa"/>
              <w:right w:w="100" w:type="dxa"/>
            </w:tcMar>
            <w:vAlign w:val="center"/>
          </w:tcPr>
          <w:p w14:paraId="2670D821">
            <w:pPr>
              <w:spacing w:after="0" w:line="264"/>
            </w:pPr>
            <w:r>
              <w:rPr>
                <w:rFonts w:ascii="Arial" w:hAnsi="Arial" w:eastAsia="Arial" w:cs="Arial"/>
                <w:color w:val="000000"/>
                <w:sz w:val="22"/>
                <w:szCs w:val="22"/>
              </w:rPr>
              <w:t>«include» CU-01</w:t>
            </w:r>
          </w:p>
        </w:tc>
      </w:tr>
      <w:tr>
        <w:trPr>
          <w:cantSplit/>
        </w:trPr>
        <w:tc>
          <w:tcPr>
            <w:tcW w:w="2000" w:type="dxa"/>
            <w:tcBorders>
              <w:top w:val="single" w:sz="4" w:color="000000"/>
              <w:left w:val="single" w:sz="4" w:color="000000"/>
              <w:bottom w:val="single" w:sz="4" w:color="000000"/>
              <w:right w:val="single" w:sz="4" w:color="000000"/>
            </w:tcBorders>
            <w:tcMar>
              <w:top w:w="60" w:type="dxa"/>
              <w:left w:w="100" w:type="dxa"/>
              <w:bottom w:w="60" w:type="dxa"/>
              <w:right w:w="100" w:type="dxa"/>
            </w:tcMar>
            <w:vAlign w:val="center"/>
          </w:tcPr>
          <w:p w14:paraId="0073D7CE">
            <w:pPr>
              <w:spacing w:after="0" w:line="264"/>
            </w:pPr>
            <w:r>
              <w:rPr>
                <w:rFonts w:ascii="Arial" w:hAnsi="Arial" w:eastAsia="Arial" w:cs="Arial"/>
                <w:color w:val="000000"/>
                <w:sz w:val="22"/>
                <w:szCs w:val="22"/>
              </w:rPr>
              <w:t>Personal</w:t>
            </w:r>
          </w:p>
        </w:tc>
        <w:tc>
          <w:tcPr>
            <w:tcW w:w="3800" w:type="dxa"/>
            <w:tcBorders>
              <w:top w:val="single" w:sz="4" w:color="000000"/>
              <w:left w:val="single" w:sz="4" w:color="000000"/>
              <w:bottom w:val="single" w:sz="4" w:color="000000"/>
              <w:right w:val="single" w:sz="4" w:color="000000"/>
            </w:tcBorders>
            <w:tcMar>
              <w:top w:w="60" w:type="dxa"/>
              <w:left w:w="100" w:type="dxa"/>
              <w:bottom w:w="60" w:type="dxa"/>
              <w:right w:w="100" w:type="dxa"/>
            </w:tcMar>
            <w:vAlign w:val="center"/>
          </w:tcPr>
          <w:p w14:paraId="4D5303D6">
            <w:pPr>
              <w:spacing w:after="0" w:line="264"/>
            </w:pPr>
            <w:r>
              <w:rPr>
                <w:rFonts w:ascii="Arial" w:hAnsi="Arial" w:eastAsia="Arial" w:cs="Arial"/>
                <w:color w:val="000000"/>
                <w:sz w:val="22"/>
                <w:szCs w:val="22"/>
              </w:rPr>
              <w:t>CU-07 Consultar vehículos</w:t>
            </w:r>
          </w:p>
        </w:tc>
        <w:tc>
          <w:tcPr>
            <w:tcW w:w="3560" w:type="dxa"/>
            <w:tcBorders>
              <w:top w:val="single" w:sz="4" w:color="000000"/>
              <w:left w:val="single" w:sz="4" w:color="000000"/>
              <w:bottom w:val="single" w:sz="4" w:color="000000"/>
              <w:right w:val="single" w:sz="4" w:color="000000"/>
            </w:tcBorders>
            <w:tcMar>
              <w:top w:w="60" w:type="dxa"/>
              <w:left w:w="100" w:type="dxa"/>
              <w:bottom w:w="60" w:type="dxa"/>
              <w:right w:w="100" w:type="dxa"/>
            </w:tcMar>
            <w:vAlign w:val="center"/>
          </w:tcPr>
          <w:p w14:paraId="186D48AA">
            <w:pPr>
              <w:spacing w:after="0" w:line="264"/>
            </w:pPr>
            <w:r>
              <w:rPr>
                <w:rFonts w:ascii="Arial" w:hAnsi="Arial" w:eastAsia="Arial" w:cs="Arial"/>
                <w:color w:val="000000"/>
                <w:sz w:val="22"/>
                <w:szCs w:val="22"/>
              </w:rPr>
              <w:t>—</w:t>
            </w:r>
          </w:p>
        </w:tc>
      </w:tr>
      <w:tr>
        <w:trPr>
          <w:cantSplit/>
        </w:trPr>
        <w:tc>
          <w:tcPr>
            <w:tcW w:w="2000" w:type="dxa"/>
            <w:tcBorders>
              <w:top w:val="single" w:sz="4" w:color="000000"/>
              <w:left w:val="single" w:sz="4" w:color="000000"/>
              <w:bottom w:val="single" w:sz="4" w:color="000000"/>
              <w:right w:val="single" w:sz="4" w:color="000000"/>
            </w:tcBorders>
            <w:tcMar>
              <w:top w:w="60" w:type="dxa"/>
              <w:left w:w="100" w:type="dxa"/>
              <w:bottom w:w="60" w:type="dxa"/>
              <w:right w:w="100" w:type="dxa"/>
            </w:tcMar>
            <w:vAlign w:val="center"/>
          </w:tcPr>
          <w:p w14:paraId="0BCFF4BD">
            <w:pPr>
              <w:spacing w:after="0" w:line="264"/>
            </w:pPr>
            <w:r>
              <w:rPr>
                <w:rFonts w:ascii="Arial" w:hAnsi="Arial" w:eastAsia="Arial" w:cs="Arial"/>
                <w:color w:val="000000"/>
                <w:sz w:val="22"/>
                <w:szCs w:val="22"/>
              </w:rPr>
              <w:t>Administrador</w:t>
            </w:r>
          </w:p>
        </w:tc>
        <w:tc>
          <w:tcPr>
            <w:tcW w:w="3800" w:type="dxa"/>
            <w:tcBorders>
              <w:top w:val="single" w:sz="4" w:color="000000"/>
              <w:left w:val="single" w:sz="4" w:color="000000"/>
              <w:bottom w:val="single" w:sz="4" w:color="000000"/>
              <w:right w:val="single" w:sz="4" w:color="000000"/>
            </w:tcBorders>
            <w:tcMar>
              <w:top w:w="60" w:type="dxa"/>
              <w:left w:w="100" w:type="dxa"/>
              <w:bottom w:w="60" w:type="dxa"/>
              <w:right w:w="100" w:type="dxa"/>
            </w:tcMar>
            <w:vAlign w:val="center"/>
          </w:tcPr>
          <w:p w14:paraId="14ACB50D">
            <w:pPr>
              <w:spacing w:after="0" w:line="264"/>
            </w:pPr>
            <w:r>
              <w:rPr>
                <w:rFonts w:ascii="Arial" w:hAnsi="Arial" w:eastAsia="Arial" w:cs="Arial"/>
                <w:color w:val="000000"/>
                <w:sz w:val="22"/>
                <w:szCs w:val="22"/>
              </w:rPr>
              <w:t>CU-08 Gestionar tarifas</w:t>
            </w:r>
          </w:p>
        </w:tc>
        <w:tc>
          <w:tcPr>
            <w:tcW w:w="3560" w:type="dxa"/>
            <w:tcBorders>
              <w:top w:val="single" w:sz="4" w:color="000000"/>
              <w:left w:val="single" w:sz="4" w:color="000000"/>
              <w:bottom w:val="single" w:sz="4" w:color="000000"/>
              <w:right w:val="single" w:sz="4" w:color="000000"/>
            </w:tcBorders>
            <w:tcMar>
              <w:top w:w="60" w:type="dxa"/>
              <w:left w:w="100" w:type="dxa"/>
              <w:bottom w:w="60" w:type="dxa"/>
              <w:right w:w="100" w:type="dxa"/>
            </w:tcMar>
            <w:vAlign w:val="center"/>
          </w:tcPr>
          <w:p w14:paraId="6B44ECE7">
            <w:pPr>
              <w:spacing w:after="0" w:line="264"/>
            </w:pPr>
            <w:r>
              <w:rPr>
                <w:rFonts w:ascii="Arial" w:hAnsi="Arial" w:eastAsia="Arial" w:cs="Arial"/>
                <w:color w:val="000000"/>
                <w:sz w:val="22"/>
                <w:szCs w:val="22"/>
              </w:rPr>
              <w:t>—</w:t>
            </w:r>
          </w:p>
        </w:tc>
      </w:tr>
      <w:tr>
        <w:trPr>
          <w:cantSplit/>
        </w:trPr>
        <w:tc>
          <w:tcPr>
            <w:tcW w:w="2000" w:type="dxa"/>
            <w:tcBorders>
              <w:top w:val="single" w:sz="4" w:color="000000"/>
              <w:left w:val="single" w:sz="4" w:color="000000"/>
              <w:bottom w:val="single" w:sz="4" w:color="000000"/>
              <w:right w:val="single" w:sz="4" w:color="000000"/>
            </w:tcBorders>
            <w:tcMar>
              <w:top w:w="60" w:type="dxa"/>
              <w:left w:w="100" w:type="dxa"/>
              <w:bottom w:w="60" w:type="dxa"/>
              <w:right w:w="100" w:type="dxa"/>
            </w:tcMar>
            <w:vAlign w:val="center"/>
          </w:tcPr>
          <w:p w14:paraId="31E3DB9B">
            <w:pPr>
              <w:spacing w:after="0" w:line="264"/>
            </w:pPr>
            <w:r>
              <w:rPr>
                <w:rFonts w:ascii="Arial" w:hAnsi="Arial" w:eastAsia="Arial" w:cs="Arial"/>
                <w:color w:val="000000"/>
                <w:sz w:val="22"/>
                <w:szCs w:val="22"/>
              </w:rPr>
              <w:t>Administrador</w:t>
            </w:r>
          </w:p>
        </w:tc>
        <w:tc>
          <w:tcPr>
            <w:tcW w:w="3800" w:type="dxa"/>
            <w:tcBorders>
              <w:top w:val="single" w:sz="4" w:color="000000"/>
              <w:left w:val="single" w:sz="4" w:color="000000"/>
              <w:bottom w:val="single" w:sz="4" w:color="000000"/>
              <w:right w:val="single" w:sz="4" w:color="000000"/>
            </w:tcBorders>
            <w:tcMar>
              <w:top w:w="60" w:type="dxa"/>
              <w:left w:w="100" w:type="dxa"/>
              <w:bottom w:w="60" w:type="dxa"/>
              <w:right w:w="100" w:type="dxa"/>
            </w:tcMar>
            <w:vAlign w:val="center"/>
          </w:tcPr>
          <w:p w14:paraId="3EC614C8">
            <w:pPr>
              <w:spacing w:after="0" w:line="264"/>
            </w:pPr>
            <w:r>
              <w:rPr>
                <w:rFonts w:ascii="Arial" w:hAnsi="Arial" w:eastAsia="Arial" w:cs="Arial"/>
                <w:color w:val="000000"/>
                <w:sz w:val="22"/>
                <w:szCs w:val="22"/>
              </w:rPr>
              <w:t>CU-09 Gestionar tipos de vehículo</w:t>
            </w:r>
          </w:p>
        </w:tc>
        <w:tc>
          <w:tcPr>
            <w:tcW w:w="3560" w:type="dxa"/>
            <w:tcBorders>
              <w:top w:val="single" w:sz="4" w:color="000000"/>
              <w:left w:val="single" w:sz="4" w:color="000000"/>
              <w:bottom w:val="single" w:sz="4" w:color="000000"/>
              <w:right w:val="single" w:sz="4" w:color="000000"/>
            </w:tcBorders>
            <w:tcMar>
              <w:top w:w="60" w:type="dxa"/>
              <w:left w:w="100" w:type="dxa"/>
              <w:bottom w:w="60" w:type="dxa"/>
              <w:right w:w="100" w:type="dxa"/>
            </w:tcMar>
            <w:vAlign w:val="center"/>
          </w:tcPr>
          <w:p w14:paraId="2C9DAB47">
            <w:pPr>
              <w:spacing w:after="0" w:line="264"/>
            </w:pPr>
            <w:r>
              <w:rPr>
                <w:rFonts w:ascii="Arial" w:hAnsi="Arial" w:eastAsia="Arial" w:cs="Arial"/>
                <w:color w:val="000000"/>
                <w:sz w:val="22"/>
                <w:szCs w:val="22"/>
              </w:rPr>
              <w:t>—</w:t>
            </w:r>
          </w:p>
        </w:tc>
      </w:tr>
      <w:tr>
        <w:trPr>
          <w:cantSplit/>
        </w:trPr>
        <w:tc>
          <w:tcPr>
            <w:tcW w:w="2000" w:type="dxa"/>
            <w:tcBorders>
              <w:top w:val="single" w:sz="4" w:color="000000"/>
              <w:left w:val="single" w:sz="4" w:color="000000"/>
              <w:bottom w:val="single" w:sz="4" w:color="000000"/>
              <w:right w:val="single" w:sz="4" w:color="000000"/>
            </w:tcBorders>
            <w:tcMar>
              <w:top w:w="60" w:type="dxa"/>
              <w:left w:w="100" w:type="dxa"/>
              <w:bottom w:w="60" w:type="dxa"/>
              <w:right w:w="100" w:type="dxa"/>
            </w:tcMar>
            <w:vAlign w:val="center"/>
          </w:tcPr>
          <w:p w14:paraId="6D9884FE">
            <w:pPr>
              <w:spacing w:after="0" w:line="264"/>
            </w:pPr>
            <w:r>
              <w:rPr>
                <w:rFonts w:ascii="Arial" w:hAnsi="Arial" w:eastAsia="Arial" w:cs="Arial"/>
                <w:color w:val="000000"/>
                <w:sz w:val="22"/>
                <w:szCs w:val="22"/>
              </w:rPr>
              <w:t>Administrador</w:t>
            </w:r>
          </w:p>
        </w:tc>
        <w:tc>
          <w:tcPr>
            <w:tcW w:w="3800" w:type="dxa"/>
            <w:tcBorders>
              <w:top w:val="single" w:sz="4" w:color="000000"/>
              <w:left w:val="single" w:sz="4" w:color="000000"/>
              <w:bottom w:val="single" w:sz="4" w:color="000000"/>
              <w:right w:val="single" w:sz="4" w:color="000000"/>
            </w:tcBorders>
            <w:tcMar>
              <w:top w:w="60" w:type="dxa"/>
              <w:left w:w="100" w:type="dxa"/>
              <w:bottom w:w="60" w:type="dxa"/>
              <w:right w:w="100" w:type="dxa"/>
            </w:tcMar>
            <w:vAlign w:val="center"/>
          </w:tcPr>
          <w:p w14:paraId="5088C622">
            <w:pPr>
              <w:spacing w:after="0" w:line="264"/>
            </w:pPr>
            <w:r>
              <w:rPr>
                <w:rFonts w:ascii="Arial" w:hAnsi="Arial" w:eastAsia="Arial" w:cs="Arial"/>
                <w:color w:val="000000"/>
                <w:sz w:val="22"/>
                <w:szCs w:val="22"/>
              </w:rPr>
              <w:t>CU-10 Gestionar usuarios</w:t>
            </w:r>
          </w:p>
        </w:tc>
        <w:tc>
          <w:tcPr>
            <w:tcW w:w="3560" w:type="dxa"/>
            <w:tcBorders>
              <w:top w:val="single" w:sz="4" w:color="000000"/>
              <w:left w:val="single" w:sz="4" w:color="000000"/>
              <w:bottom w:val="single" w:sz="4" w:color="000000"/>
              <w:right w:val="single" w:sz="4" w:color="000000"/>
            </w:tcBorders>
            <w:tcMar>
              <w:top w:w="60" w:type="dxa"/>
              <w:left w:w="100" w:type="dxa"/>
              <w:bottom w:w="60" w:type="dxa"/>
              <w:right w:w="100" w:type="dxa"/>
            </w:tcMar>
            <w:vAlign w:val="center"/>
          </w:tcPr>
          <w:p w14:paraId="4737EFF3">
            <w:pPr>
              <w:spacing w:after="0" w:line="264"/>
            </w:pPr>
            <w:r>
              <w:rPr>
                <w:rFonts w:ascii="Arial" w:hAnsi="Arial" w:eastAsia="Arial" w:cs="Arial"/>
                <w:color w:val="000000"/>
                <w:sz w:val="22"/>
                <w:szCs w:val="22"/>
              </w:rPr>
              <w:t>—</w:t>
            </w:r>
          </w:p>
        </w:tc>
      </w:tr>
      <w:tr>
        <w:trPr>
          <w:cantSplit/>
        </w:trPr>
        <w:tc>
          <w:tcPr>
            <w:tcW w:w="2000" w:type="dxa"/>
            <w:tcBorders>
              <w:top w:val="single" w:sz="4" w:color="000000"/>
              <w:left w:val="single" w:sz="4" w:color="000000"/>
              <w:bottom w:val="single" w:sz="4" w:color="000000"/>
              <w:right w:val="single" w:sz="4" w:color="000000"/>
            </w:tcBorders>
            <w:tcMar>
              <w:top w:w="60" w:type="dxa"/>
              <w:left w:w="100" w:type="dxa"/>
              <w:bottom w:w="60" w:type="dxa"/>
              <w:right w:w="100" w:type="dxa"/>
            </w:tcMar>
            <w:vAlign w:val="center"/>
          </w:tcPr>
          <w:p w14:paraId="1E168313">
            <w:pPr>
              <w:spacing w:after="0" w:line="264"/>
            </w:pPr>
            <w:r>
              <w:rPr>
                <w:rFonts w:ascii="Arial" w:hAnsi="Arial" w:eastAsia="Arial" w:cs="Arial"/>
                <w:color w:val="000000"/>
                <w:sz w:val="22"/>
                <w:szCs w:val="22"/>
              </w:rPr>
              <w:t>Administrador</w:t>
            </w:r>
          </w:p>
        </w:tc>
        <w:tc>
          <w:tcPr>
            <w:tcW w:w="3800" w:type="dxa"/>
            <w:tcBorders>
              <w:top w:val="single" w:sz="4" w:color="000000"/>
              <w:left w:val="single" w:sz="4" w:color="000000"/>
              <w:bottom w:val="single" w:sz="4" w:color="000000"/>
              <w:right w:val="single" w:sz="4" w:color="000000"/>
            </w:tcBorders>
            <w:tcMar>
              <w:top w:w="60" w:type="dxa"/>
              <w:left w:w="100" w:type="dxa"/>
              <w:bottom w:w="60" w:type="dxa"/>
              <w:right w:w="100" w:type="dxa"/>
            </w:tcMar>
            <w:vAlign w:val="center"/>
          </w:tcPr>
          <w:p w14:paraId="087DFEA2">
            <w:pPr>
              <w:spacing w:after="0" w:line="264"/>
            </w:pPr>
            <w:r>
              <w:rPr>
                <w:rFonts w:ascii="Arial" w:hAnsi="Arial" w:eastAsia="Arial" w:cs="Arial"/>
                <w:color w:val="000000"/>
                <w:sz w:val="22"/>
                <w:szCs w:val="22"/>
              </w:rPr>
              <w:t>CU-11 Consultar reporte de ingresos</w:t>
            </w:r>
          </w:p>
        </w:tc>
        <w:tc>
          <w:tcPr>
            <w:tcW w:w="3560" w:type="dxa"/>
            <w:tcBorders>
              <w:top w:val="single" w:sz="4" w:color="000000"/>
              <w:left w:val="single" w:sz="4" w:color="000000"/>
              <w:bottom w:val="single" w:sz="4" w:color="000000"/>
              <w:right w:val="single" w:sz="4" w:color="000000"/>
            </w:tcBorders>
            <w:tcMar>
              <w:top w:w="60" w:type="dxa"/>
              <w:left w:w="100" w:type="dxa"/>
              <w:bottom w:w="60" w:type="dxa"/>
              <w:right w:w="100" w:type="dxa"/>
            </w:tcMar>
            <w:vAlign w:val="center"/>
          </w:tcPr>
          <w:p w14:paraId="1ACA5719">
            <w:pPr>
              <w:spacing w:after="0" w:line="264"/>
            </w:pPr>
            <w:r>
              <w:rPr>
                <w:rFonts w:ascii="Arial" w:hAnsi="Arial" w:eastAsia="Arial" w:cs="Arial"/>
                <w:color w:val="000000"/>
                <w:sz w:val="22"/>
                <w:szCs w:val="22"/>
              </w:rPr>
              <w:t>—</w:t>
            </w:r>
          </w:p>
        </w:tc>
      </w:tr>
    </w:tbl>
    <w:p w14:paraId="65922CED">
      <w:pPr>
        <w:spacing w:before="120" w:after="120"/>
        <w:jc w:val="both"/>
      </w:pPr>
      <w:r>
        <w:rPr>
          <w:rFonts w:ascii="Arial" w:hAnsi="Arial" w:eastAsia="Arial" w:cs="Arial"/>
          <w:color w:val="000000"/>
          <w:sz w:val="22"/>
          <w:szCs w:val="22"/>
        </w:rPr>
        <w:t>El Administrador hereda todos los casos de uso del Personal por generalización de actores.</w:t>
      </w:r>
    </w:p>
    <w:p w14:paraId="128A7CDB">
      <w:pPr>
        <w:pStyle w:val="Heading2"/>
      </w:pPr>
      <w:r>
        <w:rPr>
          <w:rFonts w:ascii="Arial" w:hAnsi="Arial" w:eastAsia="Arial" w:cs="Arial"/>
          <w:b/>
          <w:bCs/>
          <w:color w:val="000000"/>
          <w:sz w:val="24"/>
          <w:szCs w:val="24"/>
        </w:rPr>
        <w:t>5.3 Relaciones entre casos de uso</w:t>
      </w:r>
    </w:p>
    <w:p w14:paraId="03879FE9">
      <w:pPr>
        <w:pStyle w:val="ListParagraph"/>
        <w:numPr>
          <w:ilvl w:val="0"/>
          <w:numId w:val="2"/>
        </w:numPr>
        <w:spacing w:after="80" w:line="276"/>
        <w:ind w:left="720" w:hanging="360"/>
        <w:jc w:val="both"/>
      </w:pPr>
      <w:r>
        <w:rPr>
          <w:rFonts w:ascii="Arial" w:hAnsi="Arial" w:eastAsia="Arial" w:cs="Arial"/>
          <w:b/>
          <w:bCs/>
          <w:color w:val="000000"/>
          <w:sz w:val="22"/>
          <w:szCs w:val="22"/>
        </w:rPr>
        <w:t xml:space="preserve">«include»: </w:t>
      </w:r>
      <w:r>
        <w:rPr>
          <w:rFonts w:ascii="Arial" w:hAnsi="Arial" w:eastAsia="Arial" w:cs="Arial"/>
          <w:color w:val="000000"/>
          <w:sz w:val="22"/>
          <w:szCs w:val="22"/>
        </w:rPr>
        <w:t>el caso base siempre ejecuta al caso incluido como parte de sí mismo. No indica orden en el tiempo. Pagar en línea, Registrar pago en caja y Registrar salida incluyen Consultar valor a pagar porque ninguno puede completarse sin calcular el valor de la estadía. El cálculo se define una sola vez y se reutiliza. Además, el Cliente puede usar Consultar valor a pagar de forma directa, sin pagar.</w:t>
      </w:r>
    </w:p>
    <w:p w14:paraId="42FB79A7">
      <w:pPr>
        <w:pStyle w:val="ListParagraph"/>
        <w:numPr>
          <w:ilvl w:val="0"/>
          <w:numId w:val="2"/>
        </w:numPr>
        <w:spacing w:after="80" w:line="276"/>
        <w:ind w:left="720" w:hanging="360"/>
        <w:jc w:val="both"/>
      </w:pPr>
      <w:r>
        <w:rPr>
          <w:rFonts w:ascii="Arial" w:hAnsi="Arial" w:eastAsia="Arial" w:cs="Arial"/>
          <w:b/>
          <w:bCs/>
          <w:color w:val="000000"/>
          <w:sz w:val="22"/>
          <w:szCs w:val="22"/>
        </w:rPr>
        <w:t xml:space="preserve">«extend»: </w:t>
      </w:r>
      <w:r>
        <w:rPr>
          <w:rFonts w:ascii="Arial" w:hAnsi="Arial" w:eastAsia="Arial" w:cs="Arial"/>
          <w:color w:val="000000"/>
          <w:sz w:val="22"/>
          <w:szCs w:val="22"/>
        </w:rPr>
        <w:t>el caso que extiende ocurre dentro del caso base solo cuando se cumple una condición. Registrar vehículo extiende a Registrar ingreso cuando la placa no está registrada: el vehículo se registra dentro del mismo proceso de ingreso (RN-06). El Personal también puede registrar un vehículo de forma independiente.</w:t>
      </w:r>
    </w:p>
    <w:p w14:paraId="097B578F">
      <w:pPr>
        <w:pStyle w:val="ListParagraph"/>
        <w:numPr>
          <w:ilvl w:val="0"/>
          <w:numId w:val="2"/>
        </w:numPr>
        <w:spacing w:after="80" w:line="276"/>
        <w:ind w:left="720" w:hanging="360"/>
        <w:jc w:val="both"/>
      </w:pPr>
      <w:r>
        <w:rPr>
          <w:rFonts w:ascii="Arial" w:hAnsi="Arial" w:eastAsia="Arial" w:cs="Arial"/>
          <w:b/>
          <w:bCs/>
          <w:color w:val="000000"/>
          <w:sz w:val="22"/>
          <w:szCs w:val="22"/>
        </w:rPr>
        <w:t xml:space="preserve">Dirección de las flechas: </w:t>
      </w:r>
      <w:r>
        <w:rPr>
          <w:rFonts w:ascii="Arial" w:hAnsi="Arial" w:eastAsia="Arial" w:cs="Arial"/>
          <w:color w:val="000000"/>
          <w:sz w:val="22"/>
          <w:szCs w:val="22"/>
        </w:rPr>
        <w:t>en «include» la flecha apunta al caso reutilizado; en «extend» apunta al caso que se amplía.</w:t>
      </w:r>
    </w:p>
    <w:p w14:paraId="4EC83F09">
      <w:pPr>
        <w:pStyle w:val="Heading2"/>
      </w:pPr>
      <w:r>
        <w:rPr>
          <w:rFonts w:ascii="Arial" w:hAnsi="Arial" w:eastAsia="Arial" w:cs="Arial"/>
          <w:b/>
          <w:bCs/>
          <w:color w:val="000000"/>
          <w:sz w:val="24"/>
          <w:szCs w:val="24"/>
        </w:rPr>
        <w:t>5.4 Especificación de casos de uso</w:t>
      </w:r>
    </w:p>
    <w:p w14:paraId="49D73D1C">
      <w:pPr>
        <w:pStyle w:val="Heading3"/>
      </w:pPr>
      <w:r>
        <w:rPr>
          <w:rFonts w:ascii="Arial" w:hAnsi="Arial" w:eastAsia="Arial" w:cs="Arial"/>
          <w:b/>
          <w:bCs/>
          <w:color w:val="000000"/>
          <w:sz w:val="22"/>
          <w:szCs w:val="22"/>
        </w:rPr>
        <w:t>CU-01. Consultar valor a pagar</w:t>
      </w:r>
    </w:p>
    <w:tbl>
      <w:tblPr>
        <w:tblW w:w="9360" w:type="dxa"/>
        <w:tblBorders>
          <w:top w:val="single" w:sz="4" w:color="auto"/>
          <w:left w:val="single" w:sz="4" w:color="auto"/>
          <w:bottom w:val="single" w:sz="4" w:color="auto"/>
          <w:right w:val="single" w:sz="4" w:color="auto"/>
          <w:insideH w:val="single" w:sz="4" w:color="auto"/>
          <w:insideV w:val="single" w:sz="4" w:color="auto"/>
        </w:tblBorders>
      </w:tblPr>
      <w:tblGrid>
        <w:gridCol w:w="2200"/>
        <w:gridCol w:w="7160"/>
      </w:tblGrid>
      <w:tr>
        <w:trPr>
          <w:cantSplit/>
        </w:trPr>
        <w:tc>
          <w:tcPr>
            <w:tcW w:w="2200" w:type="dxa"/>
            <w:tcBorders>
              <w:top w:val="single" w:sz="4" w:color="000000"/>
              <w:left w:val="single" w:sz="4" w:color="000000"/>
              <w:bottom w:val="single" w:sz="4" w:color="000000"/>
              <w:right w:val="single" w:sz="4" w:color="000000"/>
            </w:tcBorders>
            <w:tcMar>
              <w:top w:w="60" w:type="dxa"/>
              <w:left w:w="100" w:type="dxa"/>
              <w:bottom w:w="60" w:type="dxa"/>
              <w:right w:w="100" w:type="dxa"/>
            </w:tcMar>
            <w:vAlign w:val="center"/>
          </w:tcPr>
          <w:p w14:paraId="3F00066F">
            <w:pPr>
              <w:spacing w:after="0" w:line="264"/>
            </w:pPr>
            <w:r>
              <w:rPr>
                <w:rFonts w:ascii="Arial" w:hAnsi="Arial" w:eastAsia="Arial" w:cs="Arial"/>
                <w:b/>
                <w:bCs/>
                <w:color w:val="000000"/>
                <w:sz w:val="22"/>
                <w:szCs w:val="22"/>
              </w:rPr>
              <w:t>Actor</w:t>
            </w:r>
          </w:p>
        </w:tc>
        <w:tc>
          <w:tcPr>
            <w:tcW w:w="7160" w:type="dxa"/>
            <w:tcBorders>
              <w:top w:val="single" w:sz="4" w:color="000000"/>
              <w:left w:val="single" w:sz="4" w:color="000000"/>
              <w:bottom w:val="single" w:sz="4" w:color="000000"/>
              <w:right w:val="single" w:sz="4" w:color="000000"/>
            </w:tcBorders>
            <w:tcMar>
              <w:top w:w="60" w:type="dxa"/>
              <w:left w:w="100" w:type="dxa"/>
              <w:bottom w:w="60" w:type="dxa"/>
              <w:right w:w="100" w:type="dxa"/>
            </w:tcMar>
            <w:vAlign w:val="center"/>
          </w:tcPr>
          <w:p w14:paraId="58BA935C">
            <w:pPr>
              <w:spacing w:after="0" w:line="264"/>
            </w:pPr>
            <w:r>
              <w:rPr>
                <w:rFonts w:ascii="Arial" w:hAnsi="Arial" w:eastAsia="Arial" w:cs="Arial"/>
                <w:color w:val="000000"/>
                <w:sz w:val="22"/>
                <w:szCs w:val="22"/>
              </w:rPr>
              <w:t>Cliente</w:t>
            </w:r>
          </w:p>
        </w:tc>
      </w:tr>
      <w:tr>
        <w:trPr>
          <w:cantSplit/>
        </w:trPr>
        <w:tc>
          <w:tcPr>
            <w:tcW w:w="2200" w:type="dxa"/>
            <w:tcBorders>
              <w:top w:val="single" w:sz="4" w:color="000000"/>
              <w:left w:val="single" w:sz="4" w:color="000000"/>
              <w:bottom w:val="single" w:sz="4" w:color="000000"/>
              <w:right w:val="single" w:sz="4" w:color="000000"/>
            </w:tcBorders>
            <w:tcMar>
              <w:top w:w="60" w:type="dxa"/>
              <w:left w:w="100" w:type="dxa"/>
              <w:bottom w:w="60" w:type="dxa"/>
              <w:right w:w="100" w:type="dxa"/>
            </w:tcMar>
            <w:vAlign w:val="center"/>
          </w:tcPr>
          <w:p w14:paraId="055B99C5">
            <w:pPr>
              <w:spacing w:after="0" w:line="264"/>
            </w:pPr>
            <w:r>
              <w:rPr>
                <w:rFonts w:ascii="Arial" w:hAnsi="Arial" w:eastAsia="Arial" w:cs="Arial"/>
                <w:b/>
                <w:bCs/>
                <w:color w:val="000000"/>
                <w:sz w:val="22"/>
                <w:szCs w:val="22"/>
              </w:rPr>
              <w:t>Descripción</w:t>
            </w:r>
          </w:p>
        </w:tc>
        <w:tc>
          <w:tcPr>
            <w:tcW w:w="7160" w:type="dxa"/>
            <w:tcBorders>
              <w:top w:val="single" w:sz="4" w:color="000000"/>
              <w:left w:val="single" w:sz="4" w:color="000000"/>
              <w:bottom w:val="single" w:sz="4" w:color="000000"/>
              <w:right w:val="single" w:sz="4" w:color="000000"/>
            </w:tcBorders>
            <w:tcMar>
              <w:top w:w="60" w:type="dxa"/>
              <w:left w:w="100" w:type="dxa"/>
              <w:bottom w:w="60" w:type="dxa"/>
              <w:right w:w="100" w:type="dxa"/>
            </w:tcMar>
            <w:vAlign w:val="center"/>
          </w:tcPr>
          <w:p w14:paraId="55792110">
            <w:pPr>
              <w:spacing w:after="0" w:line="264"/>
            </w:pPr>
            <w:r>
              <w:rPr>
                <w:rFonts w:ascii="Arial" w:hAnsi="Arial" w:eastAsia="Arial" w:cs="Arial"/>
                <w:color w:val="000000"/>
                <w:sz w:val="22"/>
                <w:szCs w:val="22"/>
              </w:rPr>
              <w:t>El cliente ingresa su placa y el sistema muestra el valor de su estadía. Si la estadía está en estado Dentro, el valor es un estimado a la hora actual; si está en Pendiente de pago, es el valor definitivo.</w:t>
            </w:r>
          </w:p>
        </w:tc>
      </w:tr>
      <w:tr>
        <w:trPr>
          <w:cantSplit/>
        </w:trPr>
        <w:tc>
          <w:tcPr>
            <w:tcW w:w="2200" w:type="dxa"/>
            <w:tcBorders>
              <w:top w:val="single" w:sz="4" w:color="000000"/>
              <w:left w:val="single" w:sz="4" w:color="000000"/>
              <w:bottom w:val="single" w:sz="4" w:color="000000"/>
              <w:right w:val="single" w:sz="4" w:color="000000"/>
            </w:tcBorders>
            <w:tcMar>
              <w:top w:w="60" w:type="dxa"/>
              <w:left w:w="100" w:type="dxa"/>
              <w:bottom w:w="60" w:type="dxa"/>
              <w:right w:w="100" w:type="dxa"/>
            </w:tcMar>
            <w:vAlign w:val="center"/>
          </w:tcPr>
          <w:p w14:paraId="1812BA90">
            <w:pPr>
              <w:spacing w:after="0" w:line="264"/>
            </w:pPr>
            <w:r>
              <w:rPr>
                <w:rFonts w:ascii="Arial" w:hAnsi="Arial" w:eastAsia="Arial" w:cs="Arial"/>
                <w:b/>
                <w:bCs/>
                <w:color w:val="000000"/>
                <w:sz w:val="22"/>
                <w:szCs w:val="22"/>
              </w:rPr>
              <w:t>Reglas</w:t>
            </w:r>
          </w:p>
        </w:tc>
        <w:tc>
          <w:tcPr>
            <w:tcW w:w="7160" w:type="dxa"/>
            <w:tcBorders>
              <w:top w:val="single" w:sz="4" w:color="000000"/>
              <w:left w:val="single" w:sz="4" w:color="000000"/>
              <w:bottom w:val="single" w:sz="4" w:color="000000"/>
              <w:right w:val="single" w:sz="4" w:color="000000"/>
            </w:tcBorders>
            <w:tcMar>
              <w:top w:w="60" w:type="dxa"/>
              <w:left w:w="100" w:type="dxa"/>
              <w:bottom w:w="60" w:type="dxa"/>
              <w:right w:w="100" w:type="dxa"/>
            </w:tcMar>
            <w:vAlign w:val="center"/>
          </w:tcPr>
          <w:p w14:paraId="30D169FB">
            <w:pPr>
              <w:spacing w:after="0" w:line="264"/>
            </w:pPr>
            <w:r>
              <w:rPr>
                <w:rFonts w:ascii="Arial" w:hAnsi="Arial" w:eastAsia="Arial" w:cs="Arial"/>
                <w:color w:val="000000"/>
                <w:sz w:val="22"/>
                <w:szCs w:val="22"/>
              </w:rPr>
              <w:t>RN-01, RN-02, RN-13, RN-17</w:t>
            </w:r>
          </w:p>
        </w:tc>
      </w:tr>
      <w:tr>
        <w:trPr>
          <w:cantSplit/>
        </w:trPr>
        <w:tc>
          <w:tcPr>
            <w:tcW w:w="2200" w:type="dxa"/>
            <w:tcBorders>
              <w:top w:val="single" w:sz="4" w:color="000000"/>
              <w:left w:val="single" w:sz="4" w:color="000000"/>
              <w:bottom w:val="single" w:sz="4" w:color="000000"/>
              <w:right w:val="single" w:sz="4" w:color="000000"/>
            </w:tcBorders>
            <w:tcMar>
              <w:top w:w="60" w:type="dxa"/>
              <w:left w:w="100" w:type="dxa"/>
              <w:bottom w:w="60" w:type="dxa"/>
              <w:right w:w="100" w:type="dxa"/>
            </w:tcMar>
            <w:vAlign w:val="center"/>
          </w:tcPr>
          <w:p w14:paraId="28ECF500">
            <w:pPr>
              <w:spacing w:after="0" w:line="264"/>
            </w:pPr>
            <w:r>
              <w:rPr>
                <w:rFonts w:ascii="Arial" w:hAnsi="Arial" w:eastAsia="Arial" w:cs="Arial"/>
                <w:b/>
                <w:bCs/>
                <w:color w:val="000000"/>
                <w:sz w:val="22"/>
                <w:szCs w:val="22"/>
              </w:rPr>
              <w:t>Relaciones</w:t>
            </w:r>
          </w:p>
        </w:tc>
        <w:tc>
          <w:tcPr>
            <w:tcW w:w="7160" w:type="dxa"/>
            <w:tcBorders>
              <w:top w:val="single" w:sz="4" w:color="000000"/>
              <w:left w:val="single" w:sz="4" w:color="000000"/>
              <w:bottom w:val="single" w:sz="4" w:color="000000"/>
              <w:right w:val="single" w:sz="4" w:color="000000"/>
            </w:tcBorders>
            <w:tcMar>
              <w:top w:w="60" w:type="dxa"/>
              <w:left w:w="100" w:type="dxa"/>
              <w:bottom w:w="60" w:type="dxa"/>
              <w:right w:w="100" w:type="dxa"/>
            </w:tcMar>
            <w:vAlign w:val="center"/>
          </w:tcPr>
          <w:p w14:paraId="23751376">
            <w:pPr>
              <w:spacing w:after="0" w:line="264"/>
            </w:pPr>
            <w:r>
              <w:rPr>
                <w:rFonts w:ascii="Arial" w:hAnsi="Arial" w:eastAsia="Arial" w:cs="Arial"/>
                <w:color w:val="000000"/>
                <w:sz w:val="22"/>
                <w:szCs w:val="22"/>
              </w:rPr>
              <w:t>Incluido por CU-02, CU-05 y CU-06</w:t>
            </w:r>
          </w:p>
        </w:tc>
      </w:tr>
    </w:tbl>
    <w:p w14:paraId="76143CFA">
      <w:pPr>
        <w:spacing w:after="120"/>
      </w:pPr>
    </w:p>
    <w:p w14:paraId="736A164B">
      <w:pPr>
        <w:pStyle w:val="Heading3"/>
      </w:pPr>
      <w:r>
        <w:rPr>
          <w:rFonts w:ascii="Arial" w:hAnsi="Arial" w:eastAsia="Arial" w:cs="Arial"/>
          <w:b/>
          <w:bCs/>
          <w:color w:val="000000"/>
          <w:sz w:val="22"/>
          <w:szCs w:val="22"/>
        </w:rPr>
        <w:t>CU-02. Pagar en línea</w:t>
      </w:r>
    </w:p>
    <w:tbl>
      <w:tblPr>
        <w:tblW w:w="9360" w:type="dxa"/>
        <w:tblBorders>
          <w:top w:val="single" w:sz="4" w:color="auto"/>
          <w:left w:val="single" w:sz="4" w:color="auto"/>
          <w:bottom w:val="single" w:sz="4" w:color="auto"/>
          <w:right w:val="single" w:sz="4" w:color="auto"/>
          <w:insideH w:val="single" w:sz="4" w:color="auto"/>
          <w:insideV w:val="single" w:sz="4" w:color="auto"/>
        </w:tblBorders>
      </w:tblPr>
      <w:tblGrid>
        <w:gridCol w:w="2200"/>
        <w:gridCol w:w="7160"/>
      </w:tblGrid>
      <w:tr>
        <w:trPr>
          <w:cantSplit/>
        </w:trPr>
        <w:tc>
          <w:tcPr>
            <w:tcW w:w="2200" w:type="dxa"/>
            <w:tcBorders>
              <w:top w:val="single" w:sz="4" w:color="000000"/>
              <w:left w:val="single" w:sz="4" w:color="000000"/>
              <w:bottom w:val="single" w:sz="4" w:color="000000"/>
              <w:right w:val="single" w:sz="4" w:color="000000"/>
            </w:tcBorders>
            <w:tcMar>
              <w:top w:w="60" w:type="dxa"/>
              <w:left w:w="100" w:type="dxa"/>
              <w:bottom w:w="60" w:type="dxa"/>
              <w:right w:w="100" w:type="dxa"/>
            </w:tcMar>
            <w:vAlign w:val="center"/>
          </w:tcPr>
          <w:p w14:paraId="610D83C8">
            <w:pPr>
              <w:spacing w:after="0" w:line="264"/>
            </w:pPr>
            <w:r>
              <w:rPr>
                <w:rFonts w:ascii="Arial" w:hAnsi="Arial" w:eastAsia="Arial" w:cs="Arial"/>
                <w:b/>
                <w:bCs/>
                <w:color w:val="000000"/>
                <w:sz w:val="22"/>
                <w:szCs w:val="22"/>
              </w:rPr>
              <w:t>Actor</w:t>
            </w:r>
          </w:p>
        </w:tc>
        <w:tc>
          <w:tcPr>
            <w:tcW w:w="7160" w:type="dxa"/>
            <w:tcBorders>
              <w:top w:val="single" w:sz="4" w:color="000000"/>
              <w:left w:val="single" w:sz="4" w:color="000000"/>
              <w:bottom w:val="single" w:sz="4" w:color="000000"/>
              <w:right w:val="single" w:sz="4" w:color="000000"/>
            </w:tcBorders>
            <w:tcMar>
              <w:top w:w="60" w:type="dxa"/>
              <w:left w:w="100" w:type="dxa"/>
              <w:bottom w:w="60" w:type="dxa"/>
              <w:right w:w="100" w:type="dxa"/>
            </w:tcMar>
            <w:vAlign w:val="center"/>
          </w:tcPr>
          <w:p w14:paraId="4E80BFB9">
            <w:pPr>
              <w:spacing w:after="0" w:line="264"/>
            </w:pPr>
            <w:r>
              <w:rPr>
                <w:rFonts w:ascii="Arial" w:hAnsi="Arial" w:eastAsia="Arial" w:cs="Arial"/>
                <w:color w:val="000000"/>
                <w:sz w:val="22"/>
                <w:szCs w:val="22"/>
              </w:rPr>
              <w:t>Cliente</w:t>
            </w:r>
          </w:p>
        </w:tc>
      </w:tr>
      <w:tr>
        <w:trPr>
          <w:cantSplit/>
        </w:trPr>
        <w:tc>
          <w:tcPr>
            <w:tcW w:w="2200" w:type="dxa"/>
            <w:tcBorders>
              <w:top w:val="single" w:sz="4" w:color="000000"/>
              <w:left w:val="single" w:sz="4" w:color="000000"/>
              <w:bottom w:val="single" w:sz="4" w:color="000000"/>
              <w:right w:val="single" w:sz="4" w:color="000000"/>
            </w:tcBorders>
            <w:tcMar>
              <w:top w:w="60" w:type="dxa"/>
              <w:left w:w="100" w:type="dxa"/>
              <w:bottom w:w="60" w:type="dxa"/>
              <w:right w:w="100" w:type="dxa"/>
            </w:tcMar>
            <w:vAlign w:val="center"/>
          </w:tcPr>
          <w:p w14:paraId="60C91D9D">
            <w:pPr>
              <w:spacing w:after="0" w:line="264"/>
            </w:pPr>
            <w:r>
              <w:rPr>
                <w:rFonts w:ascii="Arial" w:hAnsi="Arial" w:eastAsia="Arial" w:cs="Arial"/>
                <w:b/>
                <w:bCs/>
                <w:color w:val="000000"/>
                <w:sz w:val="22"/>
                <w:szCs w:val="22"/>
              </w:rPr>
              <w:t>Precondición</w:t>
            </w:r>
          </w:p>
        </w:tc>
        <w:tc>
          <w:tcPr>
            <w:tcW w:w="7160" w:type="dxa"/>
            <w:tcBorders>
              <w:top w:val="single" w:sz="4" w:color="000000"/>
              <w:left w:val="single" w:sz="4" w:color="000000"/>
              <w:bottom w:val="single" w:sz="4" w:color="000000"/>
              <w:right w:val="single" w:sz="4" w:color="000000"/>
            </w:tcBorders>
            <w:tcMar>
              <w:top w:w="60" w:type="dxa"/>
              <w:left w:w="100" w:type="dxa"/>
              <w:bottom w:w="60" w:type="dxa"/>
              <w:right w:w="100" w:type="dxa"/>
            </w:tcMar>
            <w:vAlign w:val="center"/>
          </w:tcPr>
          <w:p w14:paraId="19B9056F">
            <w:pPr>
              <w:spacing w:after="0" w:line="264"/>
            </w:pPr>
            <w:r>
              <w:rPr>
                <w:rFonts w:ascii="Arial" w:hAnsi="Arial" w:eastAsia="Arial" w:cs="Arial"/>
                <w:color w:val="000000"/>
                <w:sz w:val="22"/>
                <w:szCs w:val="22"/>
              </w:rPr>
              <w:t>La estadía está en estado Pendiente de pago.</w:t>
            </w:r>
          </w:p>
        </w:tc>
      </w:tr>
      <w:tr>
        <w:trPr>
          <w:cantSplit/>
        </w:trPr>
        <w:tc>
          <w:tcPr>
            <w:tcW w:w="2200" w:type="dxa"/>
            <w:tcBorders>
              <w:top w:val="single" w:sz="4" w:color="000000"/>
              <w:left w:val="single" w:sz="4" w:color="000000"/>
              <w:bottom w:val="single" w:sz="4" w:color="000000"/>
              <w:right w:val="single" w:sz="4" w:color="000000"/>
            </w:tcBorders>
            <w:tcMar>
              <w:top w:w="60" w:type="dxa"/>
              <w:left w:w="100" w:type="dxa"/>
              <w:bottom w:w="60" w:type="dxa"/>
              <w:right w:w="100" w:type="dxa"/>
            </w:tcMar>
            <w:vAlign w:val="center"/>
          </w:tcPr>
          <w:p w14:paraId="4DC45168">
            <w:pPr>
              <w:spacing w:after="0" w:line="264"/>
            </w:pPr>
            <w:r>
              <w:rPr>
                <w:rFonts w:ascii="Arial" w:hAnsi="Arial" w:eastAsia="Arial" w:cs="Arial"/>
                <w:b/>
                <w:bCs/>
                <w:color w:val="000000"/>
                <w:sz w:val="22"/>
                <w:szCs w:val="22"/>
              </w:rPr>
              <w:t>Descripción</w:t>
            </w:r>
          </w:p>
        </w:tc>
        <w:tc>
          <w:tcPr>
            <w:tcW w:w="7160" w:type="dxa"/>
            <w:tcBorders>
              <w:top w:val="single" w:sz="4" w:color="000000"/>
              <w:left w:val="single" w:sz="4" w:color="000000"/>
              <w:bottom w:val="single" w:sz="4" w:color="000000"/>
              <w:right w:val="single" w:sz="4" w:color="000000"/>
            </w:tcBorders>
            <w:tcMar>
              <w:top w:w="60" w:type="dxa"/>
              <w:left w:w="100" w:type="dxa"/>
              <w:bottom w:w="60" w:type="dxa"/>
              <w:right w:w="100" w:type="dxa"/>
            </w:tcMar>
            <w:vAlign w:val="center"/>
          </w:tcPr>
          <w:p w14:paraId="16A05B85">
            <w:pPr>
              <w:spacing w:after="0" w:line="264"/>
            </w:pPr>
            <w:r>
              <w:rPr>
                <w:rFonts w:ascii="Arial" w:hAnsi="Arial" w:eastAsia="Arial" w:cs="Arial"/>
                <w:color w:val="000000"/>
                <w:sz w:val="22"/>
                <w:szCs w:val="22"/>
              </w:rPr>
              <w:t>El cliente consulta el valor definitivo y paga mediante el software. Si el pago se confirma, la estadía pasa a Cerrada. Requiere integración con un servicio externo de pagos, no representado como actor por convención del curso.</w:t>
            </w:r>
          </w:p>
        </w:tc>
      </w:tr>
      <w:tr>
        <w:trPr>
          <w:cantSplit/>
        </w:trPr>
        <w:tc>
          <w:tcPr>
            <w:tcW w:w="2200" w:type="dxa"/>
            <w:tcBorders>
              <w:top w:val="single" w:sz="4" w:color="000000"/>
              <w:left w:val="single" w:sz="4" w:color="000000"/>
              <w:bottom w:val="single" w:sz="4" w:color="000000"/>
              <w:right w:val="single" w:sz="4" w:color="000000"/>
            </w:tcBorders>
            <w:tcMar>
              <w:top w:w="60" w:type="dxa"/>
              <w:left w:w="100" w:type="dxa"/>
              <w:bottom w:w="60" w:type="dxa"/>
              <w:right w:w="100" w:type="dxa"/>
            </w:tcMar>
            <w:vAlign w:val="center"/>
          </w:tcPr>
          <w:p w14:paraId="67E86A78">
            <w:pPr>
              <w:spacing w:after="0" w:line="264"/>
            </w:pPr>
            <w:r>
              <w:rPr>
                <w:rFonts w:ascii="Arial" w:hAnsi="Arial" w:eastAsia="Arial" w:cs="Arial"/>
                <w:b/>
                <w:bCs/>
                <w:color w:val="000000"/>
                <w:sz w:val="22"/>
                <w:szCs w:val="22"/>
              </w:rPr>
              <w:t>Reglas</w:t>
            </w:r>
          </w:p>
        </w:tc>
        <w:tc>
          <w:tcPr>
            <w:tcW w:w="7160" w:type="dxa"/>
            <w:tcBorders>
              <w:top w:val="single" w:sz="4" w:color="000000"/>
              <w:left w:val="single" w:sz="4" w:color="000000"/>
              <w:bottom w:val="single" w:sz="4" w:color="000000"/>
              <w:right w:val="single" w:sz="4" w:color="000000"/>
            </w:tcBorders>
            <w:tcMar>
              <w:top w:w="60" w:type="dxa"/>
              <w:left w:w="100" w:type="dxa"/>
              <w:bottom w:w="60" w:type="dxa"/>
              <w:right w:w="100" w:type="dxa"/>
            </w:tcMar>
            <w:vAlign w:val="center"/>
          </w:tcPr>
          <w:p w14:paraId="1BBCFCD5">
            <w:pPr>
              <w:spacing w:after="0" w:line="264"/>
            </w:pPr>
            <w:r>
              <w:rPr>
                <w:rFonts w:ascii="Arial" w:hAnsi="Arial" w:eastAsia="Arial" w:cs="Arial"/>
                <w:color w:val="000000"/>
                <w:sz w:val="22"/>
                <w:szCs w:val="22"/>
              </w:rPr>
              <w:t>RN-10, RN-11, RN-12, RN-18</w:t>
            </w:r>
          </w:p>
        </w:tc>
      </w:tr>
      <w:tr>
        <w:trPr>
          <w:cantSplit/>
        </w:trPr>
        <w:tc>
          <w:tcPr>
            <w:tcW w:w="2200" w:type="dxa"/>
            <w:tcBorders>
              <w:top w:val="single" w:sz="4" w:color="000000"/>
              <w:left w:val="single" w:sz="4" w:color="000000"/>
              <w:bottom w:val="single" w:sz="4" w:color="000000"/>
              <w:right w:val="single" w:sz="4" w:color="000000"/>
            </w:tcBorders>
            <w:tcMar>
              <w:top w:w="60" w:type="dxa"/>
              <w:left w:w="100" w:type="dxa"/>
              <w:bottom w:w="60" w:type="dxa"/>
              <w:right w:w="100" w:type="dxa"/>
            </w:tcMar>
            <w:vAlign w:val="center"/>
          </w:tcPr>
          <w:p w14:paraId="1E4F2566">
            <w:pPr>
              <w:spacing w:after="0" w:line="264"/>
            </w:pPr>
            <w:r>
              <w:rPr>
                <w:rFonts w:ascii="Arial" w:hAnsi="Arial" w:eastAsia="Arial" w:cs="Arial"/>
                <w:b/>
                <w:bCs/>
                <w:color w:val="000000"/>
                <w:sz w:val="22"/>
                <w:szCs w:val="22"/>
              </w:rPr>
              <w:t>Relaciones</w:t>
            </w:r>
          </w:p>
        </w:tc>
        <w:tc>
          <w:tcPr>
            <w:tcW w:w="7160" w:type="dxa"/>
            <w:tcBorders>
              <w:top w:val="single" w:sz="4" w:color="000000"/>
              <w:left w:val="single" w:sz="4" w:color="000000"/>
              <w:bottom w:val="single" w:sz="4" w:color="000000"/>
              <w:right w:val="single" w:sz="4" w:color="000000"/>
            </w:tcBorders>
            <w:tcMar>
              <w:top w:w="60" w:type="dxa"/>
              <w:left w:w="100" w:type="dxa"/>
              <w:bottom w:w="60" w:type="dxa"/>
              <w:right w:w="100" w:type="dxa"/>
            </w:tcMar>
            <w:vAlign w:val="center"/>
          </w:tcPr>
          <w:p w14:paraId="623A9298">
            <w:pPr>
              <w:spacing w:after="0" w:line="264"/>
            </w:pPr>
            <w:r>
              <w:rPr>
                <w:rFonts w:ascii="Arial" w:hAnsi="Arial" w:eastAsia="Arial" w:cs="Arial"/>
                <w:color w:val="000000"/>
                <w:sz w:val="22"/>
                <w:szCs w:val="22"/>
              </w:rPr>
              <w:t>«include» CU-01</w:t>
            </w:r>
          </w:p>
        </w:tc>
      </w:tr>
    </w:tbl>
    <w:p w14:paraId="013845FA">
      <w:pPr>
        <w:spacing w:after="120"/>
      </w:pPr>
    </w:p>
    <w:p w14:paraId="77157227">
      <w:pPr>
        <w:pStyle w:val="Heading3"/>
      </w:pPr>
      <w:r>
        <w:rPr>
          <w:rFonts w:ascii="Arial" w:hAnsi="Arial" w:eastAsia="Arial" w:cs="Arial"/>
          <w:b/>
          <w:bCs/>
          <w:color w:val="000000"/>
          <w:sz w:val="22"/>
          <w:szCs w:val="22"/>
        </w:rPr>
        <w:t>CU-03. Registrar ingreso</w:t>
      </w:r>
    </w:p>
    <w:tbl>
      <w:tblPr>
        <w:tblW w:w="9360" w:type="dxa"/>
        <w:tblBorders>
          <w:top w:val="single" w:sz="4" w:color="auto"/>
          <w:left w:val="single" w:sz="4" w:color="auto"/>
          <w:bottom w:val="single" w:sz="4" w:color="auto"/>
          <w:right w:val="single" w:sz="4" w:color="auto"/>
          <w:insideH w:val="single" w:sz="4" w:color="auto"/>
          <w:insideV w:val="single" w:sz="4" w:color="auto"/>
        </w:tblBorders>
      </w:tblPr>
      <w:tblGrid>
        <w:gridCol w:w="2200"/>
        <w:gridCol w:w="7160"/>
      </w:tblGrid>
      <w:tr>
        <w:trPr>
          <w:cantSplit/>
        </w:trPr>
        <w:tc>
          <w:tcPr>
            <w:tcW w:w="2200" w:type="dxa"/>
            <w:tcBorders>
              <w:top w:val="single" w:sz="4" w:color="000000"/>
              <w:left w:val="single" w:sz="4" w:color="000000"/>
              <w:bottom w:val="single" w:sz="4" w:color="000000"/>
              <w:right w:val="single" w:sz="4" w:color="000000"/>
            </w:tcBorders>
            <w:tcMar>
              <w:top w:w="60" w:type="dxa"/>
              <w:left w:w="100" w:type="dxa"/>
              <w:bottom w:w="60" w:type="dxa"/>
              <w:right w:w="100" w:type="dxa"/>
            </w:tcMar>
            <w:vAlign w:val="center"/>
          </w:tcPr>
          <w:p w14:paraId="703F4C0B">
            <w:pPr>
              <w:spacing w:after="0" w:line="264"/>
            </w:pPr>
            <w:r>
              <w:rPr>
                <w:rFonts w:ascii="Arial" w:hAnsi="Arial" w:eastAsia="Arial" w:cs="Arial"/>
                <w:b/>
                <w:bCs/>
                <w:color w:val="000000"/>
                <w:sz w:val="22"/>
                <w:szCs w:val="22"/>
              </w:rPr>
              <w:t>Actor</w:t>
            </w:r>
          </w:p>
        </w:tc>
        <w:tc>
          <w:tcPr>
            <w:tcW w:w="7160" w:type="dxa"/>
            <w:tcBorders>
              <w:top w:val="single" w:sz="4" w:color="000000"/>
              <w:left w:val="single" w:sz="4" w:color="000000"/>
              <w:bottom w:val="single" w:sz="4" w:color="000000"/>
              <w:right w:val="single" w:sz="4" w:color="000000"/>
            </w:tcBorders>
            <w:tcMar>
              <w:top w:w="60" w:type="dxa"/>
              <w:left w:w="100" w:type="dxa"/>
              <w:bottom w:w="60" w:type="dxa"/>
              <w:right w:w="100" w:type="dxa"/>
            </w:tcMar>
            <w:vAlign w:val="center"/>
          </w:tcPr>
          <w:p w14:paraId="3DDB6B75">
            <w:pPr>
              <w:spacing w:after="0" w:line="264"/>
            </w:pPr>
            <w:r>
              <w:rPr>
                <w:rFonts w:ascii="Arial" w:hAnsi="Arial" w:eastAsia="Arial" w:cs="Arial"/>
                <w:color w:val="000000"/>
                <w:sz w:val="22"/>
                <w:szCs w:val="22"/>
              </w:rPr>
              <w:t>Personal</w:t>
            </w:r>
          </w:p>
        </w:tc>
      </w:tr>
      <w:tr>
        <w:trPr>
          <w:cantSplit/>
        </w:trPr>
        <w:tc>
          <w:tcPr>
            <w:tcW w:w="2200" w:type="dxa"/>
            <w:tcBorders>
              <w:top w:val="single" w:sz="4" w:color="000000"/>
              <w:left w:val="single" w:sz="4" w:color="000000"/>
              <w:bottom w:val="single" w:sz="4" w:color="000000"/>
              <w:right w:val="single" w:sz="4" w:color="000000"/>
            </w:tcBorders>
            <w:tcMar>
              <w:top w:w="60" w:type="dxa"/>
              <w:left w:w="100" w:type="dxa"/>
              <w:bottom w:w="60" w:type="dxa"/>
              <w:right w:w="100" w:type="dxa"/>
            </w:tcMar>
            <w:vAlign w:val="center"/>
          </w:tcPr>
          <w:p w14:paraId="28713BCA">
            <w:pPr>
              <w:spacing w:after="0" w:line="264"/>
            </w:pPr>
            <w:r>
              <w:rPr>
                <w:rFonts w:ascii="Arial" w:hAnsi="Arial" w:eastAsia="Arial" w:cs="Arial"/>
                <w:b/>
                <w:bCs/>
                <w:color w:val="000000"/>
                <w:sz w:val="22"/>
                <w:szCs w:val="22"/>
              </w:rPr>
              <w:t>Descripción</w:t>
            </w:r>
          </w:p>
        </w:tc>
        <w:tc>
          <w:tcPr>
            <w:tcW w:w="7160" w:type="dxa"/>
            <w:tcBorders>
              <w:top w:val="single" w:sz="4" w:color="000000"/>
              <w:left w:val="single" w:sz="4" w:color="000000"/>
              <w:bottom w:val="single" w:sz="4" w:color="000000"/>
              <w:right w:val="single" w:sz="4" w:color="000000"/>
            </w:tcBorders>
            <w:tcMar>
              <w:top w:w="60" w:type="dxa"/>
              <w:left w:w="100" w:type="dxa"/>
              <w:bottom w:w="60" w:type="dxa"/>
              <w:right w:w="100" w:type="dxa"/>
            </w:tcMar>
            <w:vAlign w:val="center"/>
          </w:tcPr>
          <w:p w14:paraId="6D61E9F0">
            <w:pPr>
              <w:spacing w:after="0" w:line="264"/>
            </w:pPr>
            <w:r>
              <w:rPr>
                <w:rFonts w:ascii="Arial" w:hAnsi="Arial" w:eastAsia="Arial" w:cs="Arial"/>
                <w:color w:val="000000"/>
                <w:sz w:val="22"/>
                <w:szCs w:val="22"/>
              </w:rPr>
              <w:t>El empleado digita la placa. Si no está registrada, se ejecuta CU-04. El sistema verifica que el tipo del vehículo esté activo y que el vehículo no tenga una estadía activa, asocia la tarifa vigente y registra la hora de ingreso en estado Dentro.</w:t>
            </w:r>
          </w:p>
        </w:tc>
      </w:tr>
      <w:tr>
        <w:trPr>
          <w:cantSplit/>
        </w:trPr>
        <w:tc>
          <w:tcPr>
            <w:tcW w:w="2200" w:type="dxa"/>
            <w:tcBorders>
              <w:top w:val="single" w:sz="4" w:color="000000"/>
              <w:left w:val="single" w:sz="4" w:color="000000"/>
              <w:bottom w:val="single" w:sz="4" w:color="000000"/>
              <w:right w:val="single" w:sz="4" w:color="000000"/>
            </w:tcBorders>
            <w:tcMar>
              <w:top w:w="60" w:type="dxa"/>
              <w:left w:w="100" w:type="dxa"/>
              <w:bottom w:w="60" w:type="dxa"/>
              <w:right w:w="100" w:type="dxa"/>
            </w:tcMar>
            <w:vAlign w:val="center"/>
          </w:tcPr>
          <w:p w14:paraId="529AEE2E">
            <w:pPr>
              <w:spacing w:after="0" w:line="264"/>
            </w:pPr>
            <w:r>
              <w:rPr>
                <w:rFonts w:ascii="Arial" w:hAnsi="Arial" w:eastAsia="Arial" w:cs="Arial"/>
                <w:b/>
                <w:bCs/>
                <w:color w:val="000000"/>
                <w:sz w:val="22"/>
                <w:szCs w:val="22"/>
              </w:rPr>
              <w:t>Reglas</w:t>
            </w:r>
          </w:p>
        </w:tc>
        <w:tc>
          <w:tcPr>
            <w:tcW w:w="7160" w:type="dxa"/>
            <w:tcBorders>
              <w:top w:val="single" w:sz="4" w:color="000000"/>
              <w:left w:val="single" w:sz="4" w:color="000000"/>
              <w:bottom w:val="single" w:sz="4" w:color="000000"/>
              <w:right w:val="single" w:sz="4" w:color="000000"/>
            </w:tcBorders>
            <w:tcMar>
              <w:top w:w="60" w:type="dxa"/>
              <w:left w:w="100" w:type="dxa"/>
              <w:bottom w:w="60" w:type="dxa"/>
              <w:right w:w="100" w:type="dxa"/>
            </w:tcMar>
            <w:vAlign w:val="center"/>
          </w:tcPr>
          <w:p w14:paraId="3892050E">
            <w:pPr>
              <w:spacing w:after="0" w:line="264"/>
            </w:pPr>
            <w:r>
              <w:rPr>
                <w:rFonts w:ascii="Arial" w:hAnsi="Arial" w:eastAsia="Arial" w:cs="Arial"/>
                <w:color w:val="000000"/>
                <w:sz w:val="22"/>
                <w:szCs w:val="22"/>
              </w:rPr>
              <w:t>RN-01, RN-06, RN-08, RN-16</w:t>
            </w:r>
          </w:p>
        </w:tc>
      </w:tr>
      <w:tr>
        <w:trPr>
          <w:cantSplit/>
        </w:trPr>
        <w:tc>
          <w:tcPr>
            <w:tcW w:w="2200" w:type="dxa"/>
            <w:tcBorders>
              <w:top w:val="single" w:sz="4" w:color="000000"/>
              <w:left w:val="single" w:sz="4" w:color="000000"/>
              <w:bottom w:val="single" w:sz="4" w:color="000000"/>
              <w:right w:val="single" w:sz="4" w:color="000000"/>
            </w:tcBorders>
            <w:tcMar>
              <w:top w:w="60" w:type="dxa"/>
              <w:left w:w="100" w:type="dxa"/>
              <w:bottom w:w="60" w:type="dxa"/>
              <w:right w:w="100" w:type="dxa"/>
            </w:tcMar>
            <w:vAlign w:val="center"/>
          </w:tcPr>
          <w:p w14:paraId="016837D6">
            <w:pPr>
              <w:spacing w:after="0" w:line="264"/>
            </w:pPr>
            <w:r>
              <w:rPr>
                <w:rFonts w:ascii="Arial" w:hAnsi="Arial" w:eastAsia="Arial" w:cs="Arial"/>
                <w:b/>
                <w:bCs/>
                <w:color w:val="000000"/>
                <w:sz w:val="22"/>
                <w:szCs w:val="22"/>
              </w:rPr>
              <w:t>Relaciones</w:t>
            </w:r>
          </w:p>
        </w:tc>
        <w:tc>
          <w:tcPr>
            <w:tcW w:w="7160" w:type="dxa"/>
            <w:tcBorders>
              <w:top w:val="single" w:sz="4" w:color="000000"/>
              <w:left w:val="single" w:sz="4" w:color="000000"/>
              <w:bottom w:val="single" w:sz="4" w:color="000000"/>
              <w:right w:val="single" w:sz="4" w:color="000000"/>
            </w:tcBorders>
            <w:tcMar>
              <w:top w:w="60" w:type="dxa"/>
              <w:left w:w="100" w:type="dxa"/>
              <w:bottom w:w="60" w:type="dxa"/>
              <w:right w:w="100" w:type="dxa"/>
            </w:tcMar>
            <w:vAlign w:val="center"/>
          </w:tcPr>
          <w:p w14:paraId="1FFC554B">
            <w:pPr>
              <w:spacing w:after="0" w:line="264"/>
            </w:pPr>
            <w:r>
              <w:rPr>
                <w:rFonts w:ascii="Arial" w:hAnsi="Arial" w:eastAsia="Arial" w:cs="Arial"/>
                <w:color w:val="000000"/>
                <w:sz w:val="22"/>
                <w:szCs w:val="22"/>
              </w:rPr>
              <w:t>Extendido por CU-04 (punto de extensión: placa no registrada)</w:t>
            </w:r>
          </w:p>
        </w:tc>
      </w:tr>
    </w:tbl>
    <w:p w14:paraId="0B42802B">
      <w:pPr>
        <w:spacing w:after="120"/>
      </w:pPr>
    </w:p>
    <w:p w14:paraId="0234972D">
      <w:pPr>
        <w:pStyle w:val="Heading3"/>
      </w:pPr>
      <w:r>
        <w:rPr>
          <w:rFonts w:ascii="Arial" w:hAnsi="Arial" w:eastAsia="Arial" w:cs="Arial"/>
          <w:b/>
          <w:bCs/>
          <w:color w:val="000000"/>
          <w:sz w:val="22"/>
          <w:szCs w:val="22"/>
        </w:rPr>
        <w:t>CU-04. Registrar vehículo</w:t>
      </w:r>
    </w:p>
    <w:tbl>
      <w:tblPr>
        <w:tblW w:w="9360" w:type="dxa"/>
        <w:tblBorders>
          <w:top w:val="single" w:sz="4" w:color="auto"/>
          <w:left w:val="single" w:sz="4" w:color="auto"/>
          <w:bottom w:val="single" w:sz="4" w:color="auto"/>
          <w:right w:val="single" w:sz="4" w:color="auto"/>
          <w:insideH w:val="single" w:sz="4" w:color="auto"/>
          <w:insideV w:val="single" w:sz="4" w:color="auto"/>
        </w:tblBorders>
      </w:tblPr>
      <w:tblGrid>
        <w:gridCol w:w="2200"/>
        <w:gridCol w:w="7160"/>
      </w:tblGrid>
      <w:tr>
        <w:trPr>
          <w:cantSplit/>
        </w:trPr>
        <w:tc>
          <w:tcPr>
            <w:tcW w:w="2200" w:type="dxa"/>
            <w:tcBorders>
              <w:top w:val="single" w:sz="4" w:color="000000"/>
              <w:left w:val="single" w:sz="4" w:color="000000"/>
              <w:bottom w:val="single" w:sz="4" w:color="000000"/>
              <w:right w:val="single" w:sz="4" w:color="000000"/>
            </w:tcBorders>
            <w:tcMar>
              <w:top w:w="60" w:type="dxa"/>
              <w:left w:w="100" w:type="dxa"/>
              <w:bottom w:w="60" w:type="dxa"/>
              <w:right w:w="100" w:type="dxa"/>
            </w:tcMar>
            <w:vAlign w:val="center"/>
          </w:tcPr>
          <w:p w14:paraId="775E4BFB">
            <w:pPr>
              <w:spacing w:after="0" w:line="264"/>
            </w:pPr>
            <w:r>
              <w:rPr>
                <w:rFonts w:ascii="Arial" w:hAnsi="Arial" w:eastAsia="Arial" w:cs="Arial"/>
                <w:b/>
                <w:bCs/>
                <w:color w:val="000000"/>
                <w:sz w:val="22"/>
                <w:szCs w:val="22"/>
              </w:rPr>
              <w:t>Actor</w:t>
            </w:r>
          </w:p>
        </w:tc>
        <w:tc>
          <w:tcPr>
            <w:tcW w:w="7160" w:type="dxa"/>
            <w:tcBorders>
              <w:top w:val="single" w:sz="4" w:color="000000"/>
              <w:left w:val="single" w:sz="4" w:color="000000"/>
              <w:bottom w:val="single" w:sz="4" w:color="000000"/>
              <w:right w:val="single" w:sz="4" w:color="000000"/>
            </w:tcBorders>
            <w:tcMar>
              <w:top w:w="60" w:type="dxa"/>
              <w:left w:w="100" w:type="dxa"/>
              <w:bottom w:w="60" w:type="dxa"/>
              <w:right w:w="100" w:type="dxa"/>
            </w:tcMar>
            <w:vAlign w:val="center"/>
          </w:tcPr>
          <w:p w14:paraId="617DA127">
            <w:pPr>
              <w:spacing w:after="0" w:line="264"/>
            </w:pPr>
            <w:r>
              <w:rPr>
                <w:rFonts w:ascii="Arial" w:hAnsi="Arial" w:eastAsia="Arial" w:cs="Arial"/>
                <w:color w:val="000000"/>
                <w:sz w:val="22"/>
                <w:szCs w:val="22"/>
              </w:rPr>
              <w:t>Personal (de forma independiente o dentro de CU-03)</w:t>
            </w:r>
          </w:p>
        </w:tc>
      </w:tr>
      <w:tr>
        <w:trPr>
          <w:cantSplit/>
        </w:trPr>
        <w:tc>
          <w:tcPr>
            <w:tcW w:w="2200" w:type="dxa"/>
            <w:tcBorders>
              <w:top w:val="single" w:sz="4" w:color="000000"/>
              <w:left w:val="single" w:sz="4" w:color="000000"/>
              <w:bottom w:val="single" w:sz="4" w:color="000000"/>
              <w:right w:val="single" w:sz="4" w:color="000000"/>
            </w:tcBorders>
            <w:tcMar>
              <w:top w:w="60" w:type="dxa"/>
              <w:left w:w="100" w:type="dxa"/>
              <w:bottom w:w="60" w:type="dxa"/>
              <w:right w:w="100" w:type="dxa"/>
            </w:tcMar>
            <w:vAlign w:val="center"/>
          </w:tcPr>
          <w:p w14:paraId="582F5D9B">
            <w:pPr>
              <w:spacing w:after="0" w:line="264"/>
            </w:pPr>
            <w:r>
              <w:rPr>
                <w:rFonts w:ascii="Arial" w:hAnsi="Arial" w:eastAsia="Arial" w:cs="Arial"/>
                <w:b/>
                <w:bCs/>
                <w:color w:val="000000"/>
                <w:sz w:val="22"/>
                <w:szCs w:val="22"/>
              </w:rPr>
              <w:t>Descripción</w:t>
            </w:r>
          </w:p>
        </w:tc>
        <w:tc>
          <w:tcPr>
            <w:tcW w:w="7160" w:type="dxa"/>
            <w:tcBorders>
              <w:top w:val="single" w:sz="4" w:color="000000"/>
              <w:left w:val="single" w:sz="4" w:color="000000"/>
              <w:bottom w:val="single" w:sz="4" w:color="000000"/>
              <w:right w:val="single" w:sz="4" w:color="000000"/>
            </w:tcBorders>
            <w:tcMar>
              <w:top w:w="60" w:type="dxa"/>
              <w:left w:w="100" w:type="dxa"/>
              <w:bottom w:w="60" w:type="dxa"/>
              <w:right w:w="100" w:type="dxa"/>
            </w:tcMar>
            <w:vAlign w:val="center"/>
          </w:tcPr>
          <w:p w14:paraId="04B2927B">
            <w:pPr>
              <w:spacing w:after="0" w:line="264"/>
            </w:pPr>
            <w:r>
              <w:rPr>
                <w:rFonts w:ascii="Arial" w:hAnsi="Arial" w:eastAsia="Arial" w:cs="Arial"/>
                <w:color w:val="000000"/>
                <w:sz w:val="22"/>
                <w:szCs w:val="22"/>
              </w:rPr>
              <w:t>El empleado digita la placa y selecciona el tipo de vehículo entre los tipos activos; el sistema registra la placa con ese tipo.</w:t>
            </w:r>
          </w:p>
        </w:tc>
      </w:tr>
      <w:tr>
        <w:trPr>
          <w:cantSplit/>
        </w:trPr>
        <w:tc>
          <w:tcPr>
            <w:tcW w:w="2200" w:type="dxa"/>
            <w:tcBorders>
              <w:top w:val="single" w:sz="4" w:color="000000"/>
              <w:left w:val="single" w:sz="4" w:color="000000"/>
              <w:bottom w:val="single" w:sz="4" w:color="000000"/>
              <w:right w:val="single" w:sz="4" w:color="000000"/>
            </w:tcBorders>
            <w:tcMar>
              <w:top w:w="60" w:type="dxa"/>
              <w:left w:w="100" w:type="dxa"/>
              <w:bottom w:w="60" w:type="dxa"/>
              <w:right w:w="100" w:type="dxa"/>
            </w:tcMar>
            <w:vAlign w:val="center"/>
          </w:tcPr>
          <w:p w14:paraId="373C97D6">
            <w:pPr>
              <w:spacing w:after="0" w:line="264"/>
            </w:pPr>
            <w:r>
              <w:rPr>
                <w:rFonts w:ascii="Arial" w:hAnsi="Arial" w:eastAsia="Arial" w:cs="Arial"/>
                <w:b/>
                <w:bCs/>
                <w:color w:val="000000"/>
                <w:sz w:val="22"/>
                <w:szCs w:val="22"/>
              </w:rPr>
              <w:t>Reglas</w:t>
            </w:r>
          </w:p>
        </w:tc>
        <w:tc>
          <w:tcPr>
            <w:tcW w:w="7160" w:type="dxa"/>
            <w:tcBorders>
              <w:top w:val="single" w:sz="4" w:color="000000"/>
              <w:left w:val="single" w:sz="4" w:color="000000"/>
              <w:bottom w:val="single" w:sz="4" w:color="000000"/>
              <w:right w:val="single" w:sz="4" w:color="000000"/>
            </w:tcBorders>
            <w:tcMar>
              <w:top w:w="60" w:type="dxa"/>
              <w:left w:w="100" w:type="dxa"/>
              <w:bottom w:w="60" w:type="dxa"/>
              <w:right w:w="100" w:type="dxa"/>
            </w:tcMar>
            <w:vAlign w:val="center"/>
          </w:tcPr>
          <w:p w14:paraId="325D9303">
            <w:pPr>
              <w:spacing w:after="0" w:line="264"/>
            </w:pPr>
            <w:r>
              <w:rPr>
                <w:rFonts w:ascii="Arial" w:hAnsi="Arial" w:eastAsia="Arial" w:cs="Arial"/>
                <w:color w:val="000000"/>
                <w:sz w:val="22"/>
                <w:szCs w:val="22"/>
              </w:rPr>
              <w:t>RN-05, RN-06, RN-16</w:t>
            </w:r>
          </w:p>
        </w:tc>
      </w:tr>
      <w:tr>
        <w:trPr>
          <w:cantSplit/>
        </w:trPr>
        <w:tc>
          <w:tcPr>
            <w:tcW w:w="2200" w:type="dxa"/>
            <w:tcBorders>
              <w:top w:val="single" w:sz="4" w:color="000000"/>
              <w:left w:val="single" w:sz="4" w:color="000000"/>
              <w:bottom w:val="single" w:sz="4" w:color="000000"/>
              <w:right w:val="single" w:sz="4" w:color="000000"/>
            </w:tcBorders>
            <w:tcMar>
              <w:top w:w="60" w:type="dxa"/>
              <w:left w:w="100" w:type="dxa"/>
              <w:bottom w:w="60" w:type="dxa"/>
              <w:right w:w="100" w:type="dxa"/>
            </w:tcMar>
            <w:vAlign w:val="center"/>
          </w:tcPr>
          <w:p w14:paraId="1246772E">
            <w:pPr>
              <w:spacing w:after="0" w:line="264"/>
            </w:pPr>
            <w:r>
              <w:rPr>
                <w:rFonts w:ascii="Arial" w:hAnsi="Arial" w:eastAsia="Arial" w:cs="Arial"/>
                <w:b/>
                <w:bCs/>
                <w:color w:val="000000"/>
                <w:sz w:val="22"/>
                <w:szCs w:val="22"/>
              </w:rPr>
              <w:t>Relaciones</w:t>
            </w:r>
          </w:p>
        </w:tc>
        <w:tc>
          <w:tcPr>
            <w:tcW w:w="7160" w:type="dxa"/>
            <w:tcBorders>
              <w:top w:val="single" w:sz="4" w:color="000000"/>
              <w:left w:val="single" w:sz="4" w:color="000000"/>
              <w:bottom w:val="single" w:sz="4" w:color="000000"/>
              <w:right w:val="single" w:sz="4" w:color="000000"/>
            </w:tcBorders>
            <w:tcMar>
              <w:top w:w="60" w:type="dxa"/>
              <w:left w:w="100" w:type="dxa"/>
              <w:bottom w:w="60" w:type="dxa"/>
              <w:right w:w="100" w:type="dxa"/>
            </w:tcMar>
            <w:vAlign w:val="center"/>
          </w:tcPr>
          <w:p w14:paraId="415DEDC2">
            <w:pPr>
              <w:spacing w:after="0" w:line="264"/>
            </w:pPr>
            <w:r>
              <w:rPr>
                <w:rFonts w:ascii="Arial" w:hAnsi="Arial" w:eastAsia="Arial" w:cs="Arial"/>
                <w:color w:val="000000"/>
                <w:sz w:val="22"/>
                <w:szCs w:val="22"/>
              </w:rPr>
              <w:t>«extend» CU-03, condición: placa no registrada</w:t>
            </w:r>
          </w:p>
        </w:tc>
      </w:tr>
    </w:tbl>
    <w:p w14:paraId="4E4FBA3A">
      <w:pPr>
        <w:spacing w:after="120"/>
      </w:pPr>
    </w:p>
    <w:p w14:paraId="18FDCF2F">
      <w:pPr>
        <w:pStyle w:val="Heading3"/>
      </w:pPr>
      <w:r>
        <w:rPr>
          <w:rFonts w:ascii="Arial" w:hAnsi="Arial" w:eastAsia="Arial" w:cs="Arial"/>
          <w:b/>
          <w:bCs/>
          <w:color w:val="000000"/>
          <w:sz w:val="22"/>
          <w:szCs w:val="22"/>
        </w:rPr>
        <w:t>CU-05. Registrar salida</w:t>
      </w:r>
    </w:p>
    <w:tbl>
      <w:tblPr>
        <w:tblW w:w="9360" w:type="dxa"/>
        <w:tblBorders>
          <w:top w:val="single" w:sz="4" w:color="auto"/>
          <w:left w:val="single" w:sz="4" w:color="auto"/>
          <w:bottom w:val="single" w:sz="4" w:color="auto"/>
          <w:right w:val="single" w:sz="4" w:color="auto"/>
          <w:insideH w:val="single" w:sz="4" w:color="auto"/>
          <w:insideV w:val="single" w:sz="4" w:color="auto"/>
        </w:tblBorders>
      </w:tblPr>
      <w:tblGrid>
        <w:gridCol w:w="2200"/>
        <w:gridCol w:w="7160"/>
      </w:tblGrid>
      <w:tr>
        <w:trPr>
          <w:cantSplit/>
        </w:trPr>
        <w:tc>
          <w:tcPr>
            <w:tcW w:w="2200" w:type="dxa"/>
            <w:tcBorders>
              <w:top w:val="single" w:sz="4" w:color="000000"/>
              <w:left w:val="single" w:sz="4" w:color="000000"/>
              <w:bottom w:val="single" w:sz="4" w:color="000000"/>
              <w:right w:val="single" w:sz="4" w:color="000000"/>
            </w:tcBorders>
            <w:tcMar>
              <w:top w:w="60" w:type="dxa"/>
              <w:left w:w="100" w:type="dxa"/>
              <w:bottom w:w="60" w:type="dxa"/>
              <w:right w:w="100" w:type="dxa"/>
            </w:tcMar>
            <w:vAlign w:val="center"/>
          </w:tcPr>
          <w:p w14:paraId="4EC12330">
            <w:pPr>
              <w:spacing w:after="0" w:line="264"/>
            </w:pPr>
            <w:r>
              <w:rPr>
                <w:rFonts w:ascii="Arial" w:hAnsi="Arial" w:eastAsia="Arial" w:cs="Arial"/>
                <w:b/>
                <w:bCs/>
                <w:color w:val="000000"/>
                <w:sz w:val="22"/>
                <w:szCs w:val="22"/>
              </w:rPr>
              <w:t>Actor</w:t>
            </w:r>
          </w:p>
        </w:tc>
        <w:tc>
          <w:tcPr>
            <w:tcW w:w="7160" w:type="dxa"/>
            <w:tcBorders>
              <w:top w:val="single" w:sz="4" w:color="000000"/>
              <w:left w:val="single" w:sz="4" w:color="000000"/>
              <w:bottom w:val="single" w:sz="4" w:color="000000"/>
              <w:right w:val="single" w:sz="4" w:color="000000"/>
            </w:tcBorders>
            <w:tcMar>
              <w:top w:w="60" w:type="dxa"/>
              <w:left w:w="100" w:type="dxa"/>
              <w:bottom w:w="60" w:type="dxa"/>
              <w:right w:w="100" w:type="dxa"/>
            </w:tcMar>
            <w:vAlign w:val="center"/>
          </w:tcPr>
          <w:p w14:paraId="2AE7A5F9">
            <w:pPr>
              <w:spacing w:after="0" w:line="264"/>
            </w:pPr>
            <w:r>
              <w:rPr>
                <w:rFonts w:ascii="Arial" w:hAnsi="Arial" w:eastAsia="Arial" w:cs="Arial"/>
                <w:color w:val="000000"/>
                <w:sz w:val="22"/>
                <w:szCs w:val="22"/>
              </w:rPr>
              <w:t>Personal</w:t>
            </w:r>
          </w:p>
        </w:tc>
      </w:tr>
      <w:tr>
        <w:trPr>
          <w:cantSplit/>
        </w:trPr>
        <w:tc>
          <w:tcPr>
            <w:tcW w:w="2200" w:type="dxa"/>
            <w:tcBorders>
              <w:top w:val="single" w:sz="4" w:color="000000"/>
              <w:left w:val="single" w:sz="4" w:color="000000"/>
              <w:bottom w:val="single" w:sz="4" w:color="000000"/>
              <w:right w:val="single" w:sz="4" w:color="000000"/>
            </w:tcBorders>
            <w:tcMar>
              <w:top w:w="60" w:type="dxa"/>
              <w:left w:w="100" w:type="dxa"/>
              <w:bottom w:w="60" w:type="dxa"/>
              <w:right w:w="100" w:type="dxa"/>
            </w:tcMar>
            <w:vAlign w:val="center"/>
          </w:tcPr>
          <w:p w14:paraId="0D7D6BD2">
            <w:pPr>
              <w:spacing w:after="0" w:line="264"/>
            </w:pPr>
            <w:r>
              <w:rPr>
                <w:rFonts w:ascii="Arial" w:hAnsi="Arial" w:eastAsia="Arial" w:cs="Arial"/>
                <w:b/>
                <w:bCs/>
                <w:color w:val="000000"/>
                <w:sz w:val="22"/>
                <w:szCs w:val="22"/>
              </w:rPr>
              <w:t>Precondición</w:t>
            </w:r>
          </w:p>
        </w:tc>
        <w:tc>
          <w:tcPr>
            <w:tcW w:w="7160" w:type="dxa"/>
            <w:tcBorders>
              <w:top w:val="single" w:sz="4" w:color="000000"/>
              <w:left w:val="single" w:sz="4" w:color="000000"/>
              <w:bottom w:val="single" w:sz="4" w:color="000000"/>
              <w:right w:val="single" w:sz="4" w:color="000000"/>
            </w:tcBorders>
            <w:tcMar>
              <w:top w:w="60" w:type="dxa"/>
              <w:left w:w="100" w:type="dxa"/>
              <w:bottom w:w="60" w:type="dxa"/>
              <w:right w:w="100" w:type="dxa"/>
            </w:tcMar>
            <w:vAlign w:val="center"/>
          </w:tcPr>
          <w:p w14:paraId="3A9FD439">
            <w:pPr>
              <w:spacing w:after="0" w:line="264"/>
            </w:pPr>
            <w:r>
              <w:rPr>
                <w:rFonts w:ascii="Arial" w:hAnsi="Arial" w:eastAsia="Arial" w:cs="Arial"/>
                <w:color w:val="000000"/>
                <w:sz w:val="22"/>
                <w:szCs w:val="22"/>
              </w:rPr>
              <w:t>La estadía está en estado Dentro.</w:t>
            </w:r>
          </w:p>
        </w:tc>
      </w:tr>
      <w:tr>
        <w:trPr>
          <w:cantSplit/>
        </w:trPr>
        <w:tc>
          <w:tcPr>
            <w:tcW w:w="2200" w:type="dxa"/>
            <w:tcBorders>
              <w:top w:val="single" w:sz="4" w:color="000000"/>
              <w:left w:val="single" w:sz="4" w:color="000000"/>
              <w:bottom w:val="single" w:sz="4" w:color="000000"/>
              <w:right w:val="single" w:sz="4" w:color="000000"/>
            </w:tcBorders>
            <w:tcMar>
              <w:top w:w="60" w:type="dxa"/>
              <w:left w:w="100" w:type="dxa"/>
              <w:bottom w:w="60" w:type="dxa"/>
              <w:right w:w="100" w:type="dxa"/>
            </w:tcMar>
            <w:vAlign w:val="center"/>
          </w:tcPr>
          <w:p w14:paraId="78732D9E">
            <w:pPr>
              <w:spacing w:after="0" w:line="264"/>
            </w:pPr>
            <w:r>
              <w:rPr>
                <w:rFonts w:ascii="Arial" w:hAnsi="Arial" w:eastAsia="Arial" w:cs="Arial"/>
                <w:b/>
                <w:bCs/>
                <w:color w:val="000000"/>
                <w:sz w:val="22"/>
                <w:szCs w:val="22"/>
              </w:rPr>
              <w:t>Descripción</w:t>
            </w:r>
          </w:p>
        </w:tc>
        <w:tc>
          <w:tcPr>
            <w:tcW w:w="7160" w:type="dxa"/>
            <w:tcBorders>
              <w:top w:val="single" w:sz="4" w:color="000000"/>
              <w:left w:val="single" w:sz="4" w:color="000000"/>
              <w:bottom w:val="single" w:sz="4" w:color="000000"/>
              <w:right w:val="single" w:sz="4" w:color="000000"/>
            </w:tcBorders>
            <w:tcMar>
              <w:top w:w="60" w:type="dxa"/>
              <w:left w:w="100" w:type="dxa"/>
              <w:bottom w:w="60" w:type="dxa"/>
              <w:right w:w="100" w:type="dxa"/>
            </w:tcMar>
            <w:vAlign w:val="center"/>
          </w:tcPr>
          <w:p w14:paraId="7D2F4E7E">
            <w:pPr>
              <w:spacing w:after="0" w:line="264"/>
            </w:pPr>
            <w:r>
              <w:rPr>
                <w:rFonts w:ascii="Arial" w:hAnsi="Arial" w:eastAsia="Arial" w:cs="Arial"/>
                <w:color w:val="000000"/>
                <w:sz w:val="22"/>
                <w:szCs w:val="22"/>
              </w:rPr>
              <w:t>El empleado digita la placa; el sistema fija la hora de salida, calcula el valor total y deja la estadía en Pendiente de pago. El registro de la salida corresponde a la liquidación en la puerta: el vehículo abandona las instalaciones una vez la estadía queda Cerrada.</w:t>
            </w:r>
          </w:p>
        </w:tc>
      </w:tr>
      <w:tr>
        <w:trPr>
          <w:cantSplit/>
        </w:trPr>
        <w:tc>
          <w:tcPr>
            <w:tcW w:w="2200" w:type="dxa"/>
            <w:tcBorders>
              <w:top w:val="single" w:sz="4" w:color="000000"/>
              <w:left w:val="single" w:sz="4" w:color="000000"/>
              <w:bottom w:val="single" w:sz="4" w:color="000000"/>
              <w:right w:val="single" w:sz="4" w:color="000000"/>
            </w:tcBorders>
            <w:tcMar>
              <w:top w:w="60" w:type="dxa"/>
              <w:left w:w="100" w:type="dxa"/>
              <w:bottom w:w="60" w:type="dxa"/>
              <w:right w:w="100" w:type="dxa"/>
            </w:tcMar>
            <w:vAlign w:val="center"/>
          </w:tcPr>
          <w:p w14:paraId="6CF9E3D2">
            <w:pPr>
              <w:spacing w:after="0" w:line="264"/>
            </w:pPr>
            <w:r>
              <w:rPr>
                <w:rFonts w:ascii="Arial" w:hAnsi="Arial" w:eastAsia="Arial" w:cs="Arial"/>
                <w:b/>
                <w:bCs/>
                <w:color w:val="000000"/>
                <w:sz w:val="22"/>
                <w:szCs w:val="22"/>
              </w:rPr>
              <w:t>Reglas</w:t>
            </w:r>
          </w:p>
        </w:tc>
        <w:tc>
          <w:tcPr>
            <w:tcW w:w="7160" w:type="dxa"/>
            <w:tcBorders>
              <w:top w:val="single" w:sz="4" w:color="000000"/>
              <w:left w:val="single" w:sz="4" w:color="000000"/>
              <w:bottom w:val="single" w:sz="4" w:color="000000"/>
              <w:right w:val="single" w:sz="4" w:color="000000"/>
            </w:tcBorders>
            <w:tcMar>
              <w:top w:w="60" w:type="dxa"/>
              <w:left w:w="100" w:type="dxa"/>
              <w:bottom w:w="60" w:type="dxa"/>
              <w:right w:w="100" w:type="dxa"/>
            </w:tcMar>
            <w:vAlign w:val="center"/>
          </w:tcPr>
          <w:p w14:paraId="0E88DA3E">
            <w:pPr>
              <w:spacing w:after="0" w:line="264"/>
            </w:pPr>
            <w:r>
              <w:rPr>
                <w:rFonts w:ascii="Arial" w:hAnsi="Arial" w:eastAsia="Arial" w:cs="Arial"/>
                <w:color w:val="000000"/>
                <w:sz w:val="22"/>
                <w:szCs w:val="22"/>
              </w:rPr>
              <w:t>RN-02, RN-07, RN-09, RN-17</w:t>
            </w:r>
          </w:p>
        </w:tc>
      </w:tr>
      <w:tr>
        <w:trPr>
          <w:cantSplit/>
        </w:trPr>
        <w:tc>
          <w:tcPr>
            <w:tcW w:w="2200" w:type="dxa"/>
            <w:tcBorders>
              <w:top w:val="single" w:sz="4" w:color="000000"/>
              <w:left w:val="single" w:sz="4" w:color="000000"/>
              <w:bottom w:val="single" w:sz="4" w:color="000000"/>
              <w:right w:val="single" w:sz="4" w:color="000000"/>
            </w:tcBorders>
            <w:tcMar>
              <w:top w:w="60" w:type="dxa"/>
              <w:left w:w="100" w:type="dxa"/>
              <w:bottom w:w="60" w:type="dxa"/>
              <w:right w:w="100" w:type="dxa"/>
            </w:tcMar>
            <w:vAlign w:val="center"/>
          </w:tcPr>
          <w:p w14:paraId="0082FBC5">
            <w:pPr>
              <w:spacing w:after="0" w:line="264"/>
            </w:pPr>
            <w:r>
              <w:rPr>
                <w:rFonts w:ascii="Arial" w:hAnsi="Arial" w:eastAsia="Arial" w:cs="Arial"/>
                <w:b/>
                <w:bCs/>
                <w:color w:val="000000"/>
                <w:sz w:val="22"/>
                <w:szCs w:val="22"/>
              </w:rPr>
              <w:t>Relaciones</w:t>
            </w:r>
          </w:p>
        </w:tc>
        <w:tc>
          <w:tcPr>
            <w:tcW w:w="7160" w:type="dxa"/>
            <w:tcBorders>
              <w:top w:val="single" w:sz="4" w:color="000000"/>
              <w:left w:val="single" w:sz="4" w:color="000000"/>
              <w:bottom w:val="single" w:sz="4" w:color="000000"/>
              <w:right w:val="single" w:sz="4" w:color="000000"/>
            </w:tcBorders>
            <w:tcMar>
              <w:top w:w="60" w:type="dxa"/>
              <w:left w:w="100" w:type="dxa"/>
              <w:bottom w:w="60" w:type="dxa"/>
              <w:right w:w="100" w:type="dxa"/>
            </w:tcMar>
            <w:vAlign w:val="center"/>
          </w:tcPr>
          <w:p w14:paraId="38EE2A6D">
            <w:pPr>
              <w:spacing w:after="0" w:line="264"/>
            </w:pPr>
            <w:r>
              <w:rPr>
                <w:rFonts w:ascii="Arial" w:hAnsi="Arial" w:eastAsia="Arial" w:cs="Arial"/>
                <w:color w:val="000000"/>
                <w:sz w:val="22"/>
                <w:szCs w:val="22"/>
              </w:rPr>
              <w:t>«include» CU-01</w:t>
            </w:r>
          </w:p>
        </w:tc>
      </w:tr>
    </w:tbl>
    <w:p w14:paraId="1895F341">
      <w:pPr>
        <w:spacing w:after="120"/>
      </w:pPr>
    </w:p>
    <w:p w14:paraId="41FB40C2">
      <w:pPr>
        <w:pStyle w:val="Heading3"/>
      </w:pPr>
      <w:r>
        <w:rPr>
          <w:rFonts w:ascii="Arial" w:hAnsi="Arial" w:eastAsia="Arial" w:cs="Arial"/>
          <w:b/>
          <w:bCs/>
          <w:color w:val="000000"/>
          <w:sz w:val="22"/>
          <w:szCs w:val="22"/>
        </w:rPr>
        <w:t>CU-06. Registrar pago en caja</w:t>
      </w:r>
    </w:p>
    <w:tbl>
      <w:tblPr>
        <w:tblW w:w="9360" w:type="dxa"/>
        <w:tblBorders>
          <w:top w:val="single" w:sz="4" w:color="auto"/>
          <w:left w:val="single" w:sz="4" w:color="auto"/>
          <w:bottom w:val="single" w:sz="4" w:color="auto"/>
          <w:right w:val="single" w:sz="4" w:color="auto"/>
          <w:insideH w:val="single" w:sz="4" w:color="auto"/>
          <w:insideV w:val="single" w:sz="4" w:color="auto"/>
        </w:tblBorders>
      </w:tblPr>
      <w:tblGrid>
        <w:gridCol w:w="2200"/>
        <w:gridCol w:w="7160"/>
      </w:tblGrid>
      <w:tr>
        <w:trPr>
          <w:cantSplit/>
        </w:trPr>
        <w:tc>
          <w:tcPr>
            <w:tcW w:w="2200" w:type="dxa"/>
            <w:tcBorders>
              <w:top w:val="single" w:sz="4" w:color="000000"/>
              <w:left w:val="single" w:sz="4" w:color="000000"/>
              <w:bottom w:val="single" w:sz="4" w:color="000000"/>
              <w:right w:val="single" w:sz="4" w:color="000000"/>
            </w:tcBorders>
            <w:tcMar>
              <w:top w:w="60" w:type="dxa"/>
              <w:left w:w="100" w:type="dxa"/>
              <w:bottom w:w="60" w:type="dxa"/>
              <w:right w:w="100" w:type="dxa"/>
            </w:tcMar>
            <w:vAlign w:val="center"/>
          </w:tcPr>
          <w:p w14:paraId="7D472947">
            <w:pPr>
              <w:spacing w:after="0" w:line="264"/>
            </w:pPr>
            <w:r>
              <w:rPr>
                <w:rFonts w:ascii="Arial" w:hAnsi="Arial" w:eastAsia="Arial" w:cs="Arial"/>
                <w:b/>
                <w:bCs/>
                <w:color w:val="000000"/>
                <w:sz w:val="22"/>
                <w:szCs w:val="22"/>
              </w:rPr>
              <w:t>Actor</w:t>
            </w:r>
          </w:p>
        </w:tc>
        <w:tc>
          <w:tcPr>
            <w:tcW w:w="7160" w:type="dxa"/>
            <w:tcBorders>
              <w:top w:val="single" w:sz="4" w:color="000000"/>
              <w:left w:val="single" w:sz="4" w:color="000000"/>
              <w:bottom w:val="single" w:sz="4" w:color="000000"/>
              <w:right w:val="single" w:sz="4" w:color="000000"/>
            </w:tcBorders>
            <w:tcMar>
              <w:top w:w="60" w:type="dxa"/>
              <w:left w:w="100" w:type="dxa"/>
              <w:bottom w:w="60" w:type="dxa"/>
              <w:right w:w="100" w:type="dxa"/>
            </w:tcMar>
            <w:vAlign w:val="center"/>
          </w:tcPr>
          <w:p w14:paraId="569A9FD3">
            <w:pPr>
              <w:spacing w:after="0" w:line="264"/>
            </w:pPr>
            <w:r>
              <w:rPr>
                <w:rFonts w:ascii="Arial" w:hAnsi="Arial" w:eastAsia="Arial" w:cs="Arial"/>
                <w:color w:val="000000"/>
                <w:sz w:val="22"/>
                <w:szCs w:val="22"/>
              </w:rPr>
              <w:t>Personal</w:t>
            </w:r>
          </w:p>
        </w:tc>
      </w:tr>
      <w:tr>
        <w:trPr>
          <w:cantSplit/>
        </w:trPr>
        <w:tc>
          <w:tcPr>
            <w:tcW w:w="2200" w:type="dxa"/>
            <w:tcBorders>
              <w:top w:val="single" w:sz="4" w:color="000000"/>
              <w:left w:val="single" w:sz="4" w:color="000000"/>
              <w:bottom w:val="single" w:sz="4" w:color="000000"/>
              <w:right w:val="single" w:sz="4" w:color="000000"/>
            </w:tcBorders>
            <w:tcMar>
              <w:top w:w="60" w:type="dxa"/>
              <w:left w:w="100" w:type="dxa"/>
              <w:bottom w:w="60" w:type="dxa"/>
              <w:right w:w="100" w:type="dxa"/>
            </w:tcMar>
            <w:vAlign w:val="center"/>
          </w:tcPr>
          <w:p w14:paraId="31EAD734">
            <w:pPr>
              <w:spacing w:after="0" w:line="264"/>
            </w:pPr>
            <w:r>
              <w:rPr>
                <w:rFonts w:ascii="Arial" w:hAnsi="Arial" w:eastAsia="Arial" w:cs="Arial"/>
                <w:b/>
                <w:bCs/>
                <w:color w:val="000000"/>
                <w:sz w:val="22"/>
                <w:szCs w:val="22"/>
              </w:rPr>
              <w:t>Precondición</w:t>
            </w:r>
          </w:p>
        </w:tc>
        <w:tc>
          <w:tcPr>
            <w:tcW w:w="7160" w:type="dxa"/>
            <w:tcBorders>
              <w:top w:val="single" w:sz="4" w:color="000000"/>
              <w:left w:val="single" w:sz="4" w:color="000000"/>
              <w:bottom w:val="single" w:sz="4" w:color="000000"/>
              <w:right w:val="single" w:sz="4" w:color="000000"/>
            </w:tcBorders>
            <w:tcMar>
              <w:top w:w="60" w:type="dxa"/>
              <w:left w:w="100" w:type="dxa"/>
              <w:bottom w:w="60" w:type="dxa"/>
              <w:right w:w="100" w:type="dxa"/>
            </w:tcMar>
            <w:vAlign w:val="center"/>
          </w:tcPr>
          <w:p w14:paraId="143908E6">
            <w:pPr>
              <w:spacing w:after="0" w:line="264"/>
            </w:pPr>
            <w:r>
              <w:rPr>
                <w:rFonts w:ascii="Arial" w:hAnsi="Arial" w:eastAsia="Arial" w:cs="Arial"/>
                <w:color w:val="000000"/>
                <w:sz w:val="22"/>
                <w:szCs w:val="22"/>
              </w:rPr>
              <w:t>La estadía está en estado Pendiente de pago.</w:t>
            </w:r>
          </w:p>
        </w:tc>
      </w:tr>
      <w:tr>
        <w:trPr>
          <w:cantSplit/>
        </w:trPr>
        <w:tc>
          <w:tcPr>
            <w:tcW w:w="2200" w:type="dxa"/>
            <w:tcBorders>
              <w:top w:val="single" w:sz="4" w:color="000000"/>
              <w:left w:val="single" w:sz="4" w:color="000000"/>
              <w:bottom w:val="single" w:sz="4" w:color="000000"/>
              <w:right w:val="single" w:sz="4" w:color="000000"/>
            </w:tcBorders>
            <w:tcMar>
              <w:top w:w="60" w:type="dxa"/>
              <w:left w:w="100" w:type="dxa"/>
              <w:bottom w:w="60" w:type="dxa"/>
              <w:right w:w="100" w:type="dxa"/>
            </w:tcMar>
            <w:vAlign w:val="center"/>
          </w:tcPr>
          <w:p w14:paraId="06D20445">
            <w:pPr>
              <w:spacing w:after="0" w:line="264"/>
            </w:pPr>
            <w:r>
              <w:rPr>
                <w:rFonts w:ascii="Arial" w:hAnsi="Arial" w:eastAsia="Arial" w:cs="Arial"/>
                <w:b/>
                <w:bCs/>
                <w:color w:val="000000"/>
                <w:sz w:val="22"/>
                <w:szCs w:val="22"/>
              </w:rPr>
              <w:t>Descripción</w:t>
            </w:r>
          </w:p>
        </w:tc>
        <w:tc>
          <w:tcPr>
            <w:tcW w:w="7160" w:type="dxa"/>
            <w:tcBorders>
              <w:top w:val="single" w:sz="4" w:color="000000"/>
              <w:left w:val="single" w:sz="4" w:color="000000"/>
              <w:bottom w:val="single" w:sz="4" w:color="000000"/>
              <w:right w:val="single" w:sz="4" w:color="000000"/>
            </w:tcBorders>
            <w:tcMar>
              <w:top w:w="60" w:type="dxa"/>
              <w:left w:w="100" w:type="dxa"/>
              <w:bottom w:w="60" w:type="dxa"/>
              <w:right w:w="100" w:type="dxa"/>
            </w:tcMar>
            <w:vAlign w:val="center"/>
          </w:tcPr>
          <w:p w14:paraId="4D4BAABE">
            <w:pPr>
              <w:spacing w:after="0" w:line="264"/>
            </w:pPr>
            <w:r>
              <w:rPr>
                <w:rFonts w:ascii="Arial" w:hAnsi="Arial" w:eastAsia="Arial" w:cs="Arial"/>
                <w:color w:val="000000"/>
                <w:sz w:val="22"/>
                <w:szCs w:val="22"/>
              </w:rPr>
              <w:t>El empleado registra el pago recibido por el valor total; el sistema asocia el pago al empleado que lo registró y la estadía pasa a Cerrada.</w:t>
            </w:r>
          </w:p>
        </w:tc>
      </w:tr>
      <w:tr>
        <w:trPr>
          <w:cantSplit/>
        </w:trPr>
        <w:tc>
          <w:tcPr>
            <w:tcW w:w="2200" w:type="dxa"/>
            <w:tcBorders>
              <w:top w:val="single" w:sz="4" w:color="000000"/>
              <w:left w:val="single" w:sz="4" w:color="000000"/>
              <w:bottom w:val="single" w:sz="4" w:color="000000"/>
              <w:right w:val="single" w:sz="4" w:color="000000"/>
            </w:tcBorders>
            <w:tcMar>
              <w:top w:w="60" w:type="dxa"/>
              <w:left w:w="100" w:type="dxa"/>
              <w:bottom w:w="60" w:type="dxa"/>
              <w:right w:w="100" w:type="dxa"/>
            </w:tcMar>
            <w:vAlign w:val="center"/>
          </w:tcPr>
          <w:p w14:paraId="204971D7">
            <w:pPr>
              <w:spacing w:after="0" w:line="264"/>
            </w:pPr>
            <w:r>
              <w:rPr>
                <w:rFonts w:ascii="Arial" w:hAnsi="Arial" w:eastAsia="Arial" w:cs="Arial"/>
                <w:b/>
                <w:bCs/>
                <w:color w:val="000000"/>
                <w:sz w:val="22"/>
                <w:szCs w:val="22"/>
              </w:rPr>
              <w:t>Reglas</w:t>
            </w:r>
          </w:p>
        </w:tc>
        <w:tc>
          <w:tcPr>
            <w:tcW w:w="7160" w:type="dxa"/>
            <w:tcBorders>
              <w:top w:val="single" w:sz="4" w:color="000000"/>
              <w:left w:val="single" w:sz="4" w:color="000000"/>
              <w:bottom w:val="single" w:sz="4" w:color="000000"/>
              <w:right w:val="single" w:sz="4" w:color="000000"/>
            </w:tcBorders>
            <w:tcMar>
              <w:top w:w="60" w:type="dxa"/>
              <w:left w:w="100" w:type="dxa"/>
              <w:bottom w:w="60" w:type="dxa"/>
              <w:right w:w="100" w:type="dxa"/>
            </w:tcMar>
            <w:vAlign w:val="center"/>
          </w:tcPr>
          <w:p w14:paraId="7D730E1F">
            <w:pPr>
              <w:spacing w:after="0" w:line="264"/>
            </w:pPr>
            <w:r>
              <w:rPr>
                <w:rFonts w:ascii="Arial" w:hAnsi="Arial" w:eastAsia="Arial" w:cs="Arial"/>
                <w:color w:val="000000"/>
                <w:sz w:val="22"/>
                <w:szCs w:val="22"/>
              </w:rPr>
              <w:t>RN-10, RN-11, RN-18</w:t>
            </w:r>
          </w:p>
        </w:tc>
      </w:tr>
      <w:tr>
        <w:trPr>
          <w:cantSplit/>
        </w:trPr>
        <w:tc>
          <w:tcPr>
            <w:tcW w:w="2200" w:type="dxa"/>
            <w:tcBorders>
              <w:top w:val="single" w:sz="4" w:color="000000"/>
              <w:left w:val="single" w:sz="4" w:color="000000"/>
              <w:bottom w:val="single" w:sz="4" w:color="000000"/>
              <w:right w:val="single" w:sz="4" w:color="000000"/>
            </w:tcBorders>
            <w:tcMar>
              <w:top w:w="60" w:type="dxa"/>
              <w:left w:w="100" w:type="dxa"/>
              <w:bottom w:w="60" w:type="dxa"/>
              <w:right w:w="100" w:type="dxa"/>
            </w:tcMar>
            <w:vAlign w:val="center"/>
          </w:tcPr>
          <w:p w14:paraId="3B6FF4CC">
            <w:pPr>
              <w:spacing w:after="0" w:line="264"/>
            </w:pPr>
            <w:r>
              <w:rPr>
                <w:rFonts w:ascii="Arial" w:hAnsi="Arial" w:eastAsia="Arial" w:cs="Arial"/>
                <w:b/>
                <w:bCs/>
                <w:color w:val="000000"/>
                <w:sz w:val="22"/>
                <w:szCs w:val="22"/>
              </w:rPr>
              <w:t>Relaciones</w:t>
            </w:r>
          </w:p>
        </w:tc>
        <w:tc>
          <w:tcPr>
            <w:tcW w:w="7160" w:type="dxa"/>
            <w:tcBorders>
              <w:top w:val="single" w:sz="4" w:color="000000"/>
              <w:left w:val="single" w:sz="4" w:color="000000"/>
              <w:bottom w:val="single" w:sz="4" w:color="000000"/>
              <w:right w:val="single" w:sz="4" w:color="000000"/>
            </w:tcBorders>
            <w:tcMar>
              <w:top w:w="60" w:type="dxa"/>
              <w:left w:w="100" w:type="dxa"/>
              <w:bottom w:w="60" w:type="dxa"/>
              <w:right w:w="100" w:type="dxa"/>
            </w:tcMar>
            <w:vAlign w:val="center"/>
          </w:tcPr>
          <w:p w14:paraId="5F243A31">
            <w:pPr>
              <w:spacing w:after="0" w:line="264"/>
            </w:pPr>
            <w:r>
              <w:rPr>
                <w:rFonts w:ascii="Arial" w:hAnsi="Arial" w:eastAsia="Arial" w:cs="Arial"/>
                <w:color w:val="000000"/>
                <w:sz w:val="22"/>
                <w:szCs w:val="22"/>
              </w:rPr>
              <w:t>«include» CU-01</w:t>
            </w:r>
          </w:p>
        </w:tc>
      </w:tr>
    </w:tbl>
    <w:p w14:paraId="0F2F2ED6">
      <w:pPr>
        <w:spacing w:after="120"/>
      </w:pPr>
    </w:p>
    <w:p w14:paraId="73FF7047">
      <w:pPr>
        <w:pStyle w:val="Heading3"/>
      </w:pPr>
      <w:r>
        <w:rPr>
          <w:rFonts w:ascii="Arial" w:hAnsi="Arial" w:eastAsia="Arial" w:cs="Arial"/>
          <w:b/>
          <w:bCs/>
          <w:color w:val="000000"/>
          <w:sz w:val="22"/>
          <w:szCs w:val="22"/>
        </w:rPr>
        <w:t>CU-07. Consultar vehículos</w:t>
      </w:r>
    </w:p>
    <w:tbl>
      <w:tblPr>
        <w:tblW w:w="9360" w:type="dxa"/>
        <w:tblBorders>
          <w:top w:val="single" w:sz="4" w:color="auto"/>
          <w:left w:val="single" w:sz="4" w:color="auto"/>
          <w:bottom w:val="single" w:sz="4" w:color="auto"/>
          <w:right w:val="single" w:sz="4" w:color="auto"/>
          <w:insideH w:val="single" w:sz="4" w:color="auto"/>
          <w:insideV w:val="single" w:sz="4" w:color="auto"/>
        </w:tblBorders>
      </w:tblPr>
      <w:tblGrid>
        <w:gridCol w:w="2200"/>
        <w:gridCol w:w="7160"/>
      </w:tblGrid>
      <w:tr>
        <w:trPr>
          <w:cantSplit/>
        </w:trPr>
        <w:tc>
          <w:tcPr>
            <w:tcW w:w="2200" w:type="dxa"/>
            <w:tcBorders>
              <w:top w:val="single" w:sz="4" w:color="000000"/>
              <w:left w:val="single" w:sz="4" w:color="000000"/>
              <w:bottom w:val="single" w:sz="4" w:color="000000"/>
              <w:right w:val="single" w:sz="4" w:color="000000"/>
            </w:tcBorders>
            <w:tcMar>
              <w:top w:w="60" w:type="dxa"/>
              <w:left w:w="100" w:type="dxa"/>
              <w:bottom w:w="60" w:type="dxa"/>
              <w:right w:w="100" w:type="dxa"/>
            </w:tcMar>
            <w:vAlign w:val="center"/>
          </w:tcPr>
          <w:p w14:paraId="681B4928">
            <w:pPr>
              <w:spacing w:after="0" w:line="264"/>
            </w:pPr>
            <w:r>
              <w:rPr>
                <w:rFonts w:ascii="Arial" w:hAnsi="Arial" w:eastAsia="Arial" w:cs="Arial"/>
                <w:b/>
                <w:bCs/>
                <w:color w:val="000000"/>
                <w:sz w:val="22"/>
                <w:szCs w:val="22"/>
              </w:rPr>
              <w:t>Actor</w:t>
            </w:r>
          </w:p>
        </w:tc>
        <w:tc>
          <w:tcPr>
            <w:tcW w:w="7160" w:type="dxa"/>
            <w:tcBorders>
              <w:top w:val="single" w:sz="4" w:color="000000"/>
              <w:left w:val="single" w:sz="4" w:color="000000"/>
              <w:bottom w:val="single" w:sz="4" w:color="000000"/>
              <w:right w:val="single" w:sz="4" w:color="000000"/>
            </w:tcBorders>
            <w:tcMar>
              <w:top w:w="60" w:type="dxa"/>
              <w:left w:w="100" w:type="dxa"/>
              <w:bottom w:w="60" w:type="dxa"/>
              <w:right w:w="100" w:type="dxa"/>
            </w:tcMar>
            <w:vAlign w:val="center"/>
          </w:tcPr>
          <w:p w14:paraId="32B9D952">
            <w:pPr>
              <w:spacing w:after="0" w:line="264"/>
            </w:pPr>
            <w:r>
              <w:rPr>
                <w:rFonts w:ascii="Arial" w:hAnsi="Arial" w:eastAsia="Arial" w:cs="Arial"/>
                <w:color w:val="000000"/>
                <w:sz w:val="22"/>
                <w:szCs w:val="22"/>
              </w:rPr>
              <w:t>Personal</w:t>
            </w:r>
          </w:p>
        </w:tc>
      </w:tr>
      <w:tr>
        <w:trPr>
          <w:cantSplit/>
        </w:trPr>
        <w:tc>
          <w:tcPr>
            <w:tcW w:w="2200" w:type="dxa"/>
            <w:tcBorders>
              <w:top w:val="single" w:sz="4" w:color="000000"/>
              <w:left w:val="single" w:sz="4" w:color="000000"/>
              <w:bottom w:val="single" w:sz="4" w:color="000000"/>
              <w:right w:val="single" w:sz="4" w:color="000000"/>
            </w:tcBorders>
            <w:tcMar>
              <w:top w:w="60" w:type="dxa"/>
              <w:left w:w="100" w:type="dxa"/>
              <w:bottom w:w="60" w:type="dxa"/>
              <w:right w:w="100" w:type="dxa"/>
            </w:tcMar>
            <w:vAlign w:val="center"/>
          </w:tcPr>
          <w:p w14:paraId="0B1AABA3">
            <w:pPr>
              <w:spacing w:after="0" w:line="264"/>
            </w:pPr>
            <w:r>
              <w:rPr>
                <w:rFonts w:ascii="Arial" w:hAnsi="Arial" w:eastAsia="Arial" w:cs="Arial"/>
                <w:b/>
                <w:bCs/>
                <w:color w:val="000000"/>
                <w:sz w:val="22"/>
                <w:szCs w:val="22"/>
              </w:rPr>
              <w:t>Descripción</w:t>
            </w:r>
          </w:p>
        </w:tc>
        <w:tc>
          <w:tcPr>
            <w:tcW w:w="7160" w:type="dxa"/>
            <w:tcBorders>
              <w:top w:val="single" w:sz="4" w:color="000000"/>
              <w:left w:val="single" w:sz="4" w:color="000000"/>
              <w:bottom w:val="single" w:sz="4" w:color="000000"/>
              <w:right w:val="single" w:sz="4" w:color="000000"/>
            </w:tcBorders>
            <w:tcMar>
              <w:top w:w="60" w:type="dxa"/>
              <w:left w:w="100" w:type="dxa"/>
              <w:bottom w:w="60" w:type="dxa"/>
              <w:right w:w="100" w:type="dxa"/>
            </w:tcMar>
            <w:vAlign w:val="center"/>
          </w:tcPr>
          <w:p w14:paraId="6D3A88A8">
            <w:pPr>
              <w:spacing w:after="0" w:line="264"/>
            </w:pPr>
            <w:r>
              <w:rPr>
                <w:rFonts w:ascii="Arial" w:hAnsi="Arial" w:eastAsia="Arial" w:cs="Arial"/>
                <w:color w:val="000000"/>
                <w:sz w:val="22"/>
                <w:szCs w:val="22"/>
              </w:rPr>
              <w:t>El sistema ofrece dos vistas. En el parqueadero: estadías en estado Dentro o Pendiente de pago, con placa, tipo, hora de ingreso y estado. Registrados: todos los vehículos, con placa, tipo e indicación de si se encuentran dentro del parqueadero.</w:t>
            </w:r>
          </w:p>
        </w:tc>
      </w:tr>
    </w:tbl>
    <w:p w14:paraId="4B8BB15A">
      <w:pPr>
        <w:spacing w:after="120"/>
      </w:pPr>
    </w:p>
    <w:p w14:paraId="0587F546">
      <w:pPr>
        <w:pStyle w:val="Heading3"/>
      </w:pPr>
      <w:r>
        <w:rPr>
          <w:rFonts w:ascii="Arial" w:hAnsi="Arial" w:eastAsia="Arial" w:cs="Arial"/>
          <w:b/>
          <w:bCs/>
          <w:color w:val="000000"/>
          <w:sz w:val="22"/>
          <w:szCs w:val="22"/>
        </w:rPr>
        <w:t>CU-08. Gestionar tarifas</w:t>
      </w:r>
    </w:p>
    <w:tbl>
      <w:tblPr>
        <w:tblW w:w="9360" w:type="dxa"/>
        <w:tblBorders>
          <w:top w:val="single" w:sz="4" w:color="auto"/>
          <w:left w:val="single" w:sz="4" w:color="auto"/>
          <w:bottom w:val="single" w:sz="4" w:color="auto"/>
          <w:right w:val="single" w:sz="4" w:color="auto"/>
          <w:insideH w:val="single" w:sz="4" w:color="auto"/>
          <w:insideV w:val="single" w:sz="4" w:color="auto"/>
        </w:tblBorders>
      </w:tblPr>
      <w:tblGrid>
        <w:gridCol w:w="2200"/>
        <w:gridCol w:w="7160"/>
      </w:tblGrid>
      <w:tr>
        <w:trPr>
          <w:cantSplit/>
        </w:trPr>
        <w:tc>
          <w:tcPr>
            <w:tcW w:w="2200" w:type="dxa"/>
            <w:tcBorders>
              <w:top w:val="single" w:sz="4" w:color="000000"/>
              <w:left w:val="single" w:sz="4" w:color="000000"/>
              <w:bottom w:val="single" w:sz="4" w:color="000000"/>
              <w:right w:val="single" w:sz="4" w:color="000000"/>
            </w:tcBorders>
            <w:tcMar>
              <w:top w:w="60" w:type="dxa"/>
              <w:left w:w="100" w:type="dxa"/>
              <w:bottom w:w="60" w:type="dxa"/>
              <w:right w:w="100" w:type="dxa"/>
            </w:tcMar>
            <w:vAlign w:val="center"/>
          </w:tcPr>
          <w:p w14:paraId="0818058C">
            <w:pPr>
              <w:spacing w:after="0" w:line="264"/>
            </w:pPr>
            <w:r>
              <w:rPr>
                <w:rFonts w:ascii="Arial" w:hAnsi="Arial" w:eastAsia="Arial" w:cs="Arial"/>
                <w:b/>
                <w:bCs/>
                <w:color w:val="000000"/>
                <w:sz w:val="22"/>
                <w:szCs w:val="22"/>
              </w:rPr>
              <w:t>Actor</w:t>
            </w:r>
          </w:p>
        </w:tc>
        <w:tc>
          <w:tcPr>
            <w:tcW w:w="7160" w:type="dxa"/>
            <w:tcBorders>
              <w:top w:val="single" w:sz="4" w:color="000000"/>
              <w:left w:val="single" w:sz="4" w:color="000000"/>
              <w:bottom w:val="single" w:sz="4" w:color="000000"/>
              <w:right w:val="single" w:sz="4" w:color="000000"/>
            </w:tcBorders>
            <w:tcMar>
              <w:top w:w="60" w:type="dxa"/>
              <w:left w:w="100" w:type="dxa"/>
              <w:bottom w:w="60" w:type="dxa"/>
              <w:right w:w="100" w:type="dxa"/>
            </w:tcMar>
            <w:vAlign w:val="center"/>
          </w:tcPr>
          <w:p w14:paraId="15912E2F">
            <w:pPr>
              <w:spacing w:after="0" w:line="264"/>
            </w:pPr>
            <w:r>
              <w:rPr>
                <w:rFonts w:ascii="Arial" w:hAnsi="Arial" w:eastAsia="Arial" w:cs="Arial"/>
                <w:color w:val="000000"/>
                <w:sz w:val="22"/>
                <w:szCs w:val="22"/>
              </w:rPr>
              <w:t>Administrador</w:t>
            </w:r>
          </w:p>
        </w:tc>
      </w:tr>
      <w:tr>
        <w:trPr>
          <w:cantSplit/>
        </w:trPr>
        <w:tc>
          <w:tcPr>
            <w:tcW w:w="2200" w:type="dxa"/>
            <w:tcBorders>
              <w:top w:val="single" w:sz="4" w:color="000000"/>
              <w:left w:val="single" w:sz="4" w:color="000000"/>
              <w:bottom w:val="single" w:sz="4" w:color="000000"/>
              <w:right w:val="single" w:sz="4" w:color="000000"/>
            </w:tcBorders>
            <w:tcMar>
              <w:top w:w="60" w:type="dxa"/>
              <w:left w:w="100" w:type="dxa"/>
              <w:bottom w:w="60" w:type="dxa"/>
              <w:right w:w="100" w:type="dxa"/>
            </w:tcMar>
            <w:vAlign w:val="center"/>
          </w:tcPr>
          <w:p w14:paraId="28EBE16A">
            <w:pPr>
              <w:spacing w:after="0" w:line="264"/>
            </w:pPr>
            <w:r>
              <w:rPr>
                <w:rFonts w:ascii="Arial" w:hAnsi="Arial" w:eastAsia="Arial" w:cs="Arial"/>
                <w:b/>
                <w:bCs/>
                <w:color w:val="000000"/>
                <w:sz w:val="22"/>
                <w:szCs w:val="22"/>
              </w:rPr>
              <w:t>Descripción</w:t>
            </w:r>
          </w:p>
        </w:tc>
        <w:tc>
          <w:tcPr>
            <w:tcW w:w="7160" w:type="dxa"/>
            <w:tcBorders>
              <w:top w:val="single" w:sz="4" w:color="000000"/>
              <w:left w:val="single" w:sz="4" w:color="000000"/>
              <w:bottom w:val="single" w:sz="4" w:color="000000"/>
              <w:right w:val="single" w:sz="4" w:color="000000"/>
            </w:tcBorders>
            <w:tcMar>
              <w:top w:w="60" w:type="dxa"/>
              <w:left w:w="100" w:type="dxa"/>
              <w:bottom w:w="60" w:type="dxa"/>
              <w:right w:w="100" w:type="dxa"/>
            </w:tcMar>
            <w:vAlign w:val="center"/>
          </w:tcPr>
          <w:p w14:paraId="7C04AA82">
            <w:pPr>
              <w:spacing w:after="0" w:line="264"/>
            </w:pPr>
            <w:r>
              <w:rPr>
                <w:rFonts w:ascii="Arial" w:hAnsi="Arial" w:eastAsia="Arial" w:cs="Arial"/>
                <w:color w:val="000000"/>
                <w:sz w:val="22"/>
                <w:szCs w:val="22"/>
              </w:rPr>
              <w:t>Consultar el historial de tarifas y registrar una nueva tarifa con su fecha de vigencia.</w:t>
            </w:r>
          </w:p>
        </w:tc>
      </w:tr>
      <w:tr>
        <w:trPr>
          <w:cantSplit/>
        </w:trPr>
        <w:tc>
          <w:tcPr>
            <w:tcW w:w="2200" w:type="dxa"/>
            <w:tcBorders>
              <w:top w:val="single" w:sz="4" w:color="000000"/>
              <w:left w:val="single" w:sz="4" w:color="000000"/>
              <w:bottom w:val="single" w:sz="4" w:color="000000"/>
              <w:right w:val="single" w:sz="4" w:color="000000"/>
            </w:tcBorders>
            <w:tcMar>
              <w:top w:w="60" w:type="dxa"/>
              <w:left w:w="100" w:type="dxa"/>
              <w:bottom w:w="60" w:type="dxa"/>
              <w:right w:w="100" w:type="dxa"/>
            </w:tcMar>
            <w:vAlign w:val="center"/>
          </w:tcPr>
          <w:p w14:paraId="11AE0B8A">
            <w:pPr>
              <w:spacing w:after="0" w:line="264"/>
            </w:pPr>
            <w:r>
              <w:rPr>
                <w:rFonts w:ascii="Arial" w:hAnsi="Arial" w:eastAsia="Arial" w:cs="Arial"/>
                <w:b/>
                <w:bCs/>
                <w:color w:val="000000"/>
                <w:sz w:val="22"/>
                <w:szCs w:val="22"/>
              </w:rPr>
              <w:t>Reglas</w:t>
            </w:r>
          </w:p>
        </w:tc>
        <w:tc>
          <w:tcPr>
            <w:tcW w:w="7160" w:type="dxa"/>
            <w:tcBorders>
              <w:top w:val="single" w:sz="4" w:color="000000"/>
              <w:left w:val="single" w:sz="4" w:color="000000"/>
              <w:bottom w:val="single" w:sz="4" w:color="000000"/>
              <w:right w:val="single" w:sz="4" w:color="000000"/>
            </w:tcBorders>
            <w:tcMar>
              <w:top w:w="60" w:type="dxa"/>
              <w:left w:w="100" w:type="dxa"/>
              <w:bottom w:w="60" w:type="dxa"/>
              <w:right w:w="100" w:type="dxa"/>
            </w:tcMar>
            <w:vAlign w:val="center"/>
          </w:tcPr>
          <w:p w14:paraId="20DA519A">
            <w:pPr>
              <w:spacing w:after="0" w:line="264"/>
            </w:pPr>
            <w:r>
              <w:rPr>
                <w:rFonts w:ascii="Arial" w:hAnsi="Arial" w:eastAsia="Arial" w:cs="Arial"/>
                <w:color w:val="000000"/>
                <w:sz w:val="22"/>
                <w:szCs w:val="22"/>
              </w:rPr>
              <w:t>RN-03, RN-04, RN-19</w:t>
            </w:r>
          </w:p>
        </w:tc>
      </w:tr>
    </w:tbl>
    <w:p w14:paraId="13A96C45">
      <w:pPr>
        <w:spacing w:after="120"/>
      </w:pPr>
    </w:p>
    <w:p w14:paraId="5076B9C5">
      <w:pPr>
        <w:pStyle w:val="Heading3"/>
      </w:pPr>
      <w:r>
        <w:rPr>
          <w:rFonts w:ascii="Arial" w:hAnsi="Arial" w:eastAsia="Arial" w:cs="Arial"/>
          <w:b/>
          <w:bCs/>
          <w:color w:val="000000"/>
          <w:sz w:val="22"/>
          <w:szCs w:val="22"/>
        </w:rPr>
        <w:t>CU-09. Gestionar tipos de vehículo</w:t>
      </w:r>
    </w:p>
    <w:tbl>
      <w:tblPr>
        <w:tblW w:w="9360" w:type="dxa"/>
        <w:tblBorders>
          <w:top w:val="single" w:sz="4" w:color="auto"/>
          <w:left w:val="single" w:sz="4" w:color="auto"/>
          <w:bottom w:val="single" w:sz="4" w:color="auto"/>
          <w:right w:val="single" w:sz="4" w:color="auto"/>
          <w:insideH w:val="single" w:sz="4" w:color="auto"/>
          <w:insideV w:val="single" w:sz="4" w:color="auto"/>
        </w:tblBorders>
      </w:tblPr>
      <w:tblGrid>
        <w:gridCol w:w="2200"/>
        <w:gridCol w:w="7160"/>
      </w:tblGrid>
      <w:tr>
        <w:trPr>
          <w:cantSplit/>
        </w:trPr>
        <w:tc>
          <w:tcPr>
            <w:tcW w:w="2200" w:type="dxa"/>
            <w:tcBorders>
              <w:top w:val="single" w:sz="4" w:color="000000"/>
              <w:left w:val="single" w:sz="4" w:color="000000"/>
              <w:bottom w:val="single" w:sz="4" w:color="000000"/>
              <w:right w:val="single" w:sz="4" w:color="000000"/>
            </w:tcBorders>
            <w:tcMar>
              <w:top w:w="60" w:type="dxa"/>
              <w:left w:w="100" w:type="dxa"/>
              <w:bottom w:w="60" w:type="dxa"/>
              <w:right w:w="100" w:type="dxa"/>
            </w:tcMar>
            <w:vAlign w:val="center"/>
          </w:tcPr>
          <w:p w14:paraId="48B98E16">
            <w:pPr>
              <w:spacing w:after="0" w:line="264"/>
            </w:pPr>
            <w:r>
              <w:rPr>
                <w:rFonts w:ascii="Arial" w:hAnsi="Arial" w:eastAsia="Arial" w:cs="Arial"/>
                <w:b/>
                <w:bCs/>
                <w:color w:val="000000"/>
                <w:sz w:val="22"/>
                <w:szCs w:val="22"/>
              </w:rPr>
              <w:t>Actor</w:t>
            </w:r>
          </w:p>
        </w:tc>
        <w:tc>
          <w:tcPr>
            <w:tcW w:w="7160" w:type="dxa"/>
            <w:tcBorders>
              <w:top w:val="single" w:sz="4" w:color="000000"/>
              <w:left w:val="single" w:sz="4" w:color="000000"/>
              <w:bottom w:val="single" w:sz="4" w:color="000000"/>
              <w:right w:val="single" w:sz="4" w:color="000000"/>
            </w:tcBorders>
            <w:tcMar>
              <w:top w:w="60" w:type="dxa"/>
              <w:left w:w="100" w:type="dxa"/>
              <w:bottom w:w="60" w:type="dxa"/>
              <w:right w:w="100" w:type="dxa"/>
            </w:tcMar>
            <w:vAlign w:val="center"/>
          </w:tcPr>
          <w:p w14:paraId="60CF44EF">
            <w:pPr>
              <w:spacing w:after="0" w:line="264"/>
            </w:pPr>
            <w:r>
              <w:rPr>
                <w:rFonts w:ascii="Arial" w:hAnsi="Arial" w:eastAsia="Arial" w:cs="Arial"/>
                <w:color w:val="000000"/>
                <w:sz w:val="22"/>
                <w:szCs w:val="22"/>
              </w:rPr>
              <w:t>Administrador</w:t>
            </w:r>
          </w:p>
        </w:tc>
      </w:tr>
      <w:tr>
        <w:trPr>
          <w:cantSplit/>
        </w:trPr>
        <w:tc>
          <w:tcPr>
            <w:tcW w:w="2200" w:type="dxa"/>
            <w:tcBorders>
              <w:top w:val="single" w:sz="4" w:color="000000"/>
              <w:left w:val="single" w:sz="4" w:color="000000"/>
              <w:bottom w:val="single" w:sz="4" w:color="000000"/>
              <w:right w:val="single" w:sz="4" w:color="000000"/>
            </w:tcBorders>
            <w:tcMar>
              <w:top w:w="60" w:type="dxa"/>
              <w:left w:w="100" w:type="dxa"/>
              <w:bottom w:w="60" w:type="dxa"/>
              <w:right w:w="100" w:type="dxa"/>
            </w:tcMar>
            <w:vAlign w:val="center"/>
          </w:tcPr>
          <w:p w14:paraId="3E7522AA">
            <w:pPr>
              <w:spacing w:after="0" w:line="264"/>
            </w:pPr>
            <w:r>
              <w:rPr>
                <w:rFonts w:ascii="Arial" w:hAnsi="Arial" w:eastAsia="Arial" w:cs="Arial"/>
                <w:b/>
                <w:bCs/>
                <w:color w:val="000000"/>
                <w:sz w:val="22"/>
                <w:szCs w:val="22"/>
              </w:rPr>
              <w:t>Descripción</w:t>
            </w:r>
          </w:p>
        </w:tc>
        <w:tc>
          <w:tcPr>
            <w:tcW w:w="7160" w:type="dxa"/>
            <w:tcBorders>
              <w:top w:val="single" w:sz="4" w:color="000000"/>
              <w:left w:val="single" w:sz="4" w:color="000000"/>
              <w:bottom w:val="single" w:sz="4" w:color="000000"/>
              <w:right w:val="single" w:sz="4" w:color="000000"/>
            </w:tcBorders>
            <w:tcMar>
              <w:top w:w="60" w:type="dxa"/>
              <w:left w:w="100" w:type="dxa"/>
              <w:bottom w:w="60" w:type="dxa"/>
              <w:right w:w="100" w:type="dxa"/>
            </w:tcMar>
            <w:vAlign w:val="center"/>
          </w:tcPr>
          <w:p w14:paraId="3C34D5D7">
            <w:pPr>
              <w:spacing w:after="0" w:line="264"/>
            </w:pPr>
            <w:r>
              <w:rPr>
                <w:rFonts w:ascii="Arial" w:hAnsi="Arial" w:eastAsia="Arial" w:cs="Arial"/>
                <w:color w:val="000000"/>
                <w:sz w:val="22"/>
                <w:szCs w:val="22"/>
              </w:rPr>
              <w:t>Crear, consultar y desactivar tipos de vehículo. Al crear un tipo se registra obligatoriamente su tarifa inicial.</w:t>
            </w:r>
          </w:p>
        </w:tc>
      </w:tr>
      <w:tr>
        <w:trPr>
          <w:cantSplit/>
        </w:trPr>
        <w:tc>
          <w:tcPr>
            <w:tcW w:w="2200" w:type="dxa"/>
            <w:tcBorders>
              <w:top w:val="single" w:sz="4" w:color="000000"/>
              <w:left w:val="single" w:sz="4" w:color="000000"/>
              <w:bottom w:val="single" w:sz="4" w:color="000000"/>
              <w:right w:val="single" w:sz="4" w:color="000000"/>
            </w:tcBorders>
            <w:tcMar>
              <w:top w:w="60" w:type="dxa"/>
              <w:left w:w="100" w:type="dxa"/>
              <w:bottom w:w="60" w:type="dxa"/>
              <w:right w:w="100" w:type="dxa"/>
            </w:tcMar>
            <w:vAlign w:val="center"/>
          </w:tcPr>
          <w:p w14:paraId="08901C15">
            <w:pPr>
              <w:spacing w:after="0" w:line="264"/>
            </w:pPr>
            <w:r>
              <w:rPr>
                <w:rFonts w:ascii="Arial" w:hAnsi="Arial" w:eastAsia="Arial" w:cs="Arial"/>
                <w:b/>
                <w:bCs/>
                <w:color w:val="000000"/>
                <w:sz w:val="22"/>
                <w:szCs w:val="22"/>
              </w:rPr>
              <w:t>Reglas</w:t>
            </w:r>
          </w:p>
        </w:tc>
        <w:tc>
          <w:tcPr>
            <w:tcW w:w="7160" w:type="dxa"/>
            <w:tcBorders>
              <w:top w:val="single" w:sz="4" w:color="000000"/>
              <w:left w:val="single" w:sz="4" w:color="000000"/>
              <w:bottom w:val="single" w:sz="4" w:color="000000"/>
              <w:right w:val="single" w:sz="4" w:color="000000"/>
            </w:tcBorders>
            <w:tcMar>
              <w:top w:w="60" w:type="dxa"/>
              <w:left w:w="100" w:type="dxa"/>
              <w:bottom w:w="60" w:type="dxa"/>
              <w:right w:w="100" w:type="dxa"/>
            </w:tcMar>
            <w:vAlign w:val="center"/>
          </w:tcPr>
          <w:p w14:paraId="52C44DCC">
            <w:pPr>
              <w:spacing w:after="0" w:line="264"/>
            </w:pPr>
            <w:r>
              <w:rPr>
                <w:rFonts w:ascii="Arial" w:hAnsi="Arial" w:eastAsia="Arial" w:cs="Arial"/>
                <w:color w:val="000000"/>
                <w:sz w:val="22"/>
                <w:szCs w:val="22"/>
              </w:rPr>
              <w:t>RN-03, RN-14, RN-15, RN-16</w:t>
            </w:r>
          </w:p>
        </w:tc>
      </w:tr>
    </w:tbl>
    <w:p w14:paraId="04FE38BD">
      <w:pPr>
        <w:spacing w:after="120"/>
      </w:pPr>
    </w:p>
    <w:p w14:paraId="5E6A980F">
      <w:pPr>
        <w:pStyle w:val="Heading3"/>
      </w:pPr>
      <w:r>
        <w:rPr>
          <w:rFonts w:ascii="Arial" w:hAnsi="Arial" w:eastAsia="Arial" w:cs="Arial"/>
          <w:b/>
          <w:bCs/>
          <w:color w:val="000000"/>
          <w:sz w:val="22"/>
          <w:szCs w:val="22"/>
        </w:rPr>
        <w:t>CU-10. Gestionar usuarios</w:t>
      </w:r>
    </w:p>
    <w:tbl>
      <w:tblPr>
        <w:tblW w:w="9360" w:type="dxa"/>
        <w:tblBorders>
          <w:top w:val="single" w:sz="4" w:color="auto"/>
          <w:left w:val="single" w:sz="4" w:color="auto"/>
          <w:bottom w:val="single" w:sz="4" w:color="auto"/>
          <w:right w:val="single" w:sz="4" w:color="auto"/>
          <w:insideH w:val="single" w:sz="4" w:color="auto"/>
          <w:insideV w:val="single" w:sz="4" w:color="auto"/>
        </w:tblBorders>
      </w:tblPr>
      <w:tblGrid>
        <w:gridCol w:w="2200"/>
        <w:gridCol w:w="7160"/>
      </w:tblGrid>
      <w:tr>
        <w:trPr>
          <w:cantSplit/>
        </w:trPr>
        <w:tc>
          <w:tcPr>
            <w:tcW w:w="2200" w:type="dxa"/>
            <w:tcBorders>
              <w:top w:val="single" w:sz="4" w:color="000000"/>
              <w:left w:val="single" w:sz="4" w:color="000000"/>
              <w:bottom w:val="single" w:sz="4" w:color="000000"/>
              <w:right w:val="single" w:sz="4" w:color="000000"/>
            </w:tcBorders>
            <w:tcMar>
              <w:top w:w="60" w:type="dxa"/>
              <w:left w:w="100" w:type="dxa"/>
              <w:bottom w:w="60" w:type="dxa"/>
              <w:right w:w="100" w:type="dxa"/>
            </w:tcMar>
            <w:vAlign w:val="center"/>
          </w:tcPr>
          <w:p w14:paraId="356FA0DF">
            <w:pPr>
              <w:spacing w:after="0" w:line="264"/>
            </w:pPr>
            <w:r>
              <w:rPr>
                <w:rFonts w:ascii="Arial" w:hAnsi="Arial" w:eastAsia="Arial" w:cs="Arial"/>
                <w:b/>
                <w:bCs/>
                <w:color w:val="000000"/>
                <w:sz w:val="22"/>
                <w:szCs w:val="22"/>
              </w:rPr>
              <w:t>Actor</w:t>
            </w:r>
          </w:p>
        </w:tc>
        <w:tc>
          <w:tcPr>
            <w:tcW w:w="7160" w:type="dxa"/>
            <w:tcBorders>
              <w:top w:val="single" w:sz="4" w:color="000000"/>
              <w:left w:val="single" w:sz="4" w:color="000000"/>
              <w:bottom w:val="single" w:sz="4" w:color="000000"/>
              <w:right w:val="single" w:sz="4" w:color="000000"/>
            </w:tcBorders>
            <w:tcMar>
              <w:top w:w="60" w:type="dxa"/>
              <w:left w:w="100" w:type="dxa"/>
              <w:bottom w:w="60" w:type="dxa"/>
              <w:right w:w="100" w:type="dxa"/>
            </w:tcMar>
            <w:vAlign w:val="center"/>
          </w:tcPr>
          <w:p w14:paraId="7E91222A">
            <w:pPr>
              <w:spacing w:after="0" w:line="264"/>
            </w:pPr>
            <w:r>
              <w:rPr>
                <w:rFonts w:ascii="Arial" w:hAnsi="Arial" w:eastAsia="Arial" w:cs="Arial"/>
                <w:color w:val="000000"/>
                <w:sz w:val="22"/>
                <w:szCs w:val="22"/>
              </w:rPr>
              <w:t>Administrador</w:t>
            </w:r>
          </w:p>
        </w:tc>
      </w:tr>
      <w:tr>
        <w:trPr>
          <w:cantSplit/>
        </w:trPr>
        <w:tc>
          <w:tcPr>
            <w:tcW w:w="2200" w:type="dxa"/>
            <w:tcBorders>
              <w:top w:val="single" w:sz="4" w:color="000000"/>
              <w:left w:val="single" w:sz="4" w:color="000000"/>
              <w:bottom w:val="single" w:sz="4" w:color="000000"/>
              <w:right w:val="single" w:sz="4" w:color="000000"/>
            </w:tcBorders>
            <w:tcMar>
              <w:top w:w="60" w:type="dxa"/>
              <w:left w:w="100" w:type="dxa"/>
              <w:bottom w:w="60" w:type="dxa"/>
              <w:right w:w="100" w:type="dxa"/>
            </w:tcMar>
            <w:vAlign w:val="center"/>
          </w:tcPr>
          <w:p w14:paraId="445EE41E">
            <w:pPr>
              <w:spacing w:after="0" w:line="264"/>
            </w:pPr>
            <w:r>
              <w:rPr>
                <w:rFonts w:ascii="Arial" w:hAnsi="Arial" w:eastAsia="Arial" w:cs="Arial"/>
                <w:b/>
                <w:bCs/>
                <w:color w:val="000000"/>
                <w:sz w:val="22"/>
                <w:szCs w:val="22"/>
              </w:rPr>
              <w:t>Descripción</w:t>
            </w:r>
          </w:p>
        </w:tc>
        <w:tc>
          <w:tcPr>
            <w:tcW w:w="7160" w:type="dxa"/>
            <w:tcBorders>
              <w:top w:val="single" w:sz="4" w:color="000000"/>
              <w:left w:val="single" w:sz="4" w:color="000000"/>
              <w:bottom w:val="single" w:sz="4" w:color="000000"/>
              <w:right w:val="single" w:sz="4" w:color="000000"/>
            </w:tcBorders>
            <w:tcMar>
              <w:top w:w="60" w:type="dxa"/>
              <w:left w:w="100" w:type="dxa"/>
              <w:bottom w:w="60" w:type="dxa"/>
              <w:right w:w="100" w:type="dxa"/>
            </w:tcMar>
            <w:vAlign w:val="center"/>
          </w:tcPr>
          <w:p w14:paraId="384F7B04">
            <w:pPr>
              <w:spacing w:after="0" w:line="264"/>
            </w:pPr>
            <w:r>
              <w:rPr>
                <w:rFonts w:ascii="Arial" w:hAnsi="Arial" w:eastAsia="Arial" w:cs="Arial"/>
                <w:color w:val="000000"/>
                <w:sz w:val="22"/>
                <w:szCs w:val="22"/>
              </w:rPr>
              <w:t>Crear, consultar y desactivar usuarios del sistema, y asignarles su rol (Personal o Administrador).</w:t>
            </w:r>
          </w:p>
        </w:tc>
      </w:tr>
      <w:tr>
        <w:trPr>
          <w:cantSplit/>
        </w:trPr>
        <w:tc>
          <w:tcPr>
            <w:tcW w:w="2200" w:type="dxa"/>
            <w:tcBorders>
              <w:top w:val="single" w:sz="4" w:color="000000"/>
              <w:left w:val="single" w:sz="4" w:color="000000"/>
              <w:bottom w:val="single" w:sz="4" w:color="000000"/>
              <w:right w:val="single" w:sz="4" w:color="000000"/>
            </w:tcBorders>
            <w:tcMar>
              <w:top w:w="60" w:type="dxa"/>
              <w:left w:w="100" w:type="dxa"/>
              <w:bottom w:w="60" w:type="dxa"/>
              <w:right w:w="100" w:type="dxa"/>
            </w:tcMar>
            <w:vAlign w:val="center"/>
          </w:tcPr>
          <w:p w14:paraId="742F4A0F">
            <w:pPr>
              <w:spacing w:after="0" w:line="264"/>
            </w:pPr>
            <w:r>
              <w:rPr>
                <w:rFonts w:ascii="Arial" w:hAnsi="Arial" w:eastAsia="Arial" w:cs="Arial"/>
                <w:b/>
                <w:bCs/>
                <w:color w:val="000000"/>
                <w:sz w:val="22"/>
                <w:szCs w:val="22"/>
              </w:rPr>
              <w:t>Reglas</w:t>
            </w:r>
          </w:p>
        </w:tc>
        <w:tc>
          <w:tcPr>
            <w:tcW w:w="7160" w:type="dxa"/>
            <w:tcBorders>
              <w:top w:val="single" w:sz="4" w:color="000000"/>
              <w:left w:val="single" w:sz="4" w:color="000000"/>
              <w:bottom w:val="single" w:sz="4" w:color="000000"/>
              <w:right w:val="single" w:sz="4" w:color="000000"/>
            </w:tcBorders>
            <w:tcMar>
              <w:top w:w="60" w:type="dxa"/>
              <w:left w:w="100" w:type="dxa"/>
              <w:bottom w:w="60" w:type="dxa"/>
              <w:right w:w="100" w:type="dxa"/>
            </w:tcMar>
            <w:vAlign w:val="center"/>
          </w:tcPr>
          <w:p w14:paraId="5B74DB2D">
            <w:pPr>
              <w:spacing w:after="0" w:line="264"/>
            </w:pPr>
            <w:r>
              <w:rPr>
                <w:rFonts w:ascii="Arial" w:hAnsi="Arial" w:eastAsia="Arial" w:cs="Arial"/>
                <w:color w:val="000000"/>
                <w:sz w:val="22"/>
                <w:szCs w:val="22"/>
              </w:rPr>
              <w:t>RN-20</w:t>
            </w:r>
          </w:p>
        </w:tc>
      </w:tr>
    </w:tbl>
    <w:p w14:paraId="7B0E5BA7">
      <w:pPr>
        <w:spacing w:after="120"/>
      </w:pPr>
    </w:p>
    <w:p w14:paraId="749263A8">
      <w:pPr>
        <w:pStyle w:val="Heading3"/>
      </w:pPr>
      <w:r>
        <w:rPr>
          <w:rFonts w:ascii="Arial" w:hAnsi="Arial" w:eastAsia="Arial" w:cs="Arial"/>
          <w:b/>
          <w:bCs/>
          <w:color w:val="000000"/>
          <w:sz w:val="22"/>
          <w:szCs w:val="22"/>
        </w:rPr>
        <w:t>CU-11. Consultar reporte de ingresos</w:t>
      </w:r>
    </w:p>
    <w:tbl>
      <w:tblPr>
        <w:tblW w:w="9360" w:type="dxa"/>
        <w:tblBorders>
          <w:top w:val="single" w:sz="4" w:color="auto"/>
          <w:left w:val="single" w:sz="4" w:color="auto"/>
          <w:bottom w:val="single" w:sz="4" w:color="auto"/>
          <w:right w:val="single" w:sz="4" w:color="auto"/>
          <w:insideH w:val="single" w:sz="4" w:color="auto"/>
          <w:insideV w:val="single" w:sz="4" w:color="auto"/>
        </w:tblBorders>
      </w:tblPr>
      <w:tblGrid>
        <w:gridCol w:w="2200"/>
        <w:gridCol w:w="7160"/>
      </w:tblGrid>
      <w:tr>
        <w:trPr>
          <w:cantSplit/>
        </w:trPr>
        <w:tc>
          <w:tcPr>
            <w:tcW w:w="2200" w:type="dxa"/>
            <w:tcBorders>
              <w:top w:val="single" w:sz="4" w:color="000000"/>
              <w:left w:val="single" w:sz="4" w:color="000000"/>
              <w:bottom w:val="single" w:sz="4" w:color="000000"/>
              <w:right w:val="single" w:sz="4" w:color="000000"/>
            </w:tcBorders>
            <w:tcMar>
              <w:top w:w="60" w:type="dxa"/>
              <w:left w:w="100" w:type="dxa"/>
              <w:bottom w:w="60" w:type="dxa"/>
              <w:right w:w="100" w:type="dxa"/>
            </w:tcMar>
            <w:vAlign w:val="center"/>
          </w:tcPr>
          <w:p w14:paraId="0498C916">
            <w:pPr>
              <w:spacing w:after="0" w:line="264"/>
            </w:pPr>
            <w:r>
              <w:rPr>
                <w:rFonts w:ascii="Arial" w:hAnsi="Arial" w:eastAsia="Arial" w:cs="Arial"/>
                <w:b/>
                <w:bCs/>
                <w:color w:val="000000"/>
                <w:sz w:val="22"/>
                <w:szCs w:val="22"/>
              </w:rPr>
              <w:t>Actor</w:t>
            </w:r>
          </w:p>
        </w:tc>
        <w:tc>
          <w:tcPr>
            <w:tcW w:w="7160" w:type="dxa"/>
            <w:tcBorders>
              <w:top w:val="single" w:sz="4" w:color="000000"/>
              <w:left w:val="single" w:sz="4" w:color="000000"/>
              <w:bottom w:val="single" w:sz="4" w:color="000000"/>
              <w:right w:val="single" w:sz="4" w:color="000000"/>
            </w:tcBorders>
            <w:tcMar>
              <w:top w:w="60" w:type="dxa"/>
              <w:left w:w="100" w:type="dxa"/>
              <w:bottom w:w="60" w:type="dxa"/>
              <w:right w:w="100" w:type="dxa"/>
            </w:tcMar>
            <w:vAlign w:val="center"/>
          </w:tcPr>
          <w:p w14:paraId="2E1540BB">
            <w:pPr>
              <w:spacing w:after="0" w:line="264"/>
            </w:pPr>
            <w:r>
              <w:rPr>
                <w:rFonts w:ascii="Arial" w:hAnsi="Arial" w:eastAsia="Arial" w:cs="Arial"/>
                <w:color w:val="000000"/>
                <w:sz w:val="22"/>
                <w:szCs w:val="22"/>
              </w:rPr>
              <w:t>Administrador</w:t>
            </w:r>
          </w:p>
        </w:tc>
      </w:tr>
      <w:tr>
        <w:trPr>
          <w:cantSplit/>
        </w:trPr>
        <w:tc>
          <w:tcPr>
            <w:tcW w:w="2200" w:type="dxa"/>
            <w:tcBorders>
              <w:top w:val="single" w:sz="4" w:color="000000"/>
              <w:left w:val="single" w:sz="4" w:color="000000"/>
              <w:bottom w:val="single" w:sz="4" w:color="000000"/>
              <w:right w:val="single" w:sz="4" w:color="000000"/>
            </w:tcBorders>
            <w:tcMar>
              <w:top w:w="60" w:type="dxa"/>
              <w:left w:w="100" w:type="dxa"/>
              <w:bottom w:w="60" w:type="dxa"/>
              <w:right w:w="100" w:type="dxa"/>
            </w:tcMar>
            <w:vAlign w:val="center"/>
          </w:tcPr>
          <w:p w14:paraId="5CBD89EB">
            <w:pPr>
              <w:spacing w:after="0" w:line="264"/>
            </w:pPr>
            <w:r>
              <w:rPr>
                <w:rFonts w:ascii="Arial" w:hAnsi="Arial" w:eastAsia="Arial" w:cs="Arial"/>
                <w:b/>
                <w:bCs/>
                <w:color w:val="000000"/>
                <w:sz w:val="22"/>
                <w:szCs w:val="22"/>
              </w:rPr>
              <w:t>Descripción</w:t>
            </w:r>
          </w:p>
        </w:tc>
        <w:tc>
          <w:tcPr>
            <w:tcW w:w="7160" w:type="dxa"/>
            <w:tcBorders>
              <w:top w:val="single" w:sz="4" w:color="000000"/>
              <w:left w:val="single" w:sz="4" w:color="000000"/>
              <w:bottom w:val="single" w:sz="4" w:color="000000"/>
              <w:right w:val="single" w:sz="4" w:color="000000"/>
            </w:tcBorders>
            <w:tcMar>
              <w:top w:w="60" w:type="dxa"/>
              <w:left w:w="100" w:type="dxa"/>
              <w:bottom w:w="60" w:type="dxa"/>
              <w:right w:w="100" w:type="dxa"/>
            </w:tcMar>
            <w:vAlign w:val="center"/>
          </w:tcPr>
          <w:p w14:paraId="02BCE2E0">
            <w:pPr>
              <w:spacing w:after="0" w:line="264"/>
            </w:pPr>
            <w:r>
              <w:rPr>
                <w:rFonts w:ascii="Arial" w:hAnsi="Arial" w:eastAsia="Arial" w:cs="Arial"/>
                <w:color w:val="000000"/>
                <w:sz w:val="22"/>
                <w:szCs w:val="22"/>
              </w:rPr>
              <w:t>Consultar la suma de pagos confirmados por periodo (según fecha de pago), por tipo de vehículo y por canal de pago.</w:t>
            </w:r>
          </w:p>
        </w:tc>
      </w:tr>
    </w:tbl>
    <w:p w14:paraId="0299BCB9">
      <w:pPr>
        <w:spacing w:after="120"/>
      </w:pPr>
    </w:p>
    <w:p w14:paraId="2F07D15D">
      <w:pPr>
        <w:pStyle w:val="Heading1"/>
      </w:pPr>
      <w:r>
        <w:rPr>
          <w:rFonts w:ascii="Arial" w:hAnsi="Arial" w:eastAsia="Arial" w:cs="Arial"/>
          <w:b/>
          <w:bCs/>
          <w:color w:val="000000"/>
          <w:sz w:val="28"/>
          <w:szCs w:val="28"/>
        </w:rPr>
        <w:t>6. Ciclo de vida de la estadía y gestión de pagos</w:t>
      </w:r>
    </w:p>
    <w:p w14:paraId="08BF9E4A">
      <w:pPr>
        <w:spacing w:after="120" w:line="276"/>
        <w:jc w:val="both"/>
      </w:pPr>
      <w:r>
        <w:rPr>
          <w:rFonts w:ascii="Arial" w:hAnsi="Arial" w:eastAsia="Arial" w:cs="Arial"/>
          <w:color w:val="000000"/>
          <w:sz w:val="22"/>
          <w:szCs w:val="22"/>
        </w:rPr>
        <w:t>El sistema adopta un modelo de liquidación en la salida: el empleado registra la salida, lo que fija la hora final y el valor definitivo; el cliente paga, y solo entonces el vehículo abandona las instalaciones. Registrar la salida significa, por tanto, liquidar la estadía, no que el vehículo ya se haya ido.</w:t>
      </w:r>
    </w:p>
    <w:p w14:paraId="58BA77FD">
      <w:pPr>
        <w:spacing w:after="120" w:line="276"/>
        <w:jc w:val="both"/>
      </w:pPr>
      <w:r>
        <w:rPr>
          <w:rFonts w:ascii="Arial" w:hAnsi="Arial" w:eastAsia="Arial" w:cs="Arial"/>
          <w:color w:val="000000"/>
          <w:sz w:val="22"/>
          <w:szCs w:val="22"/>
        </w:rPr>
        <w:t>Este modelo tiene dos ventajas: el valor nunca cambia una vez liquidado, por lo que cada estadía tiene un único pago por el valor total, y no se necesitan mecanismos como tiempos de gracia o pagos parciales. La salida la registra siempre el Personal (RN-09): si el cliente pudiera registrarla, podría congelar el tiempo y permanecer parqueado pagando menos.</w:t>
      </w:r>
    </w:p>
    <w:p w14:paraId="407F6920">
      <w:pPr>
        <w:pStyle w:val="Heading2"/>
      </w:pPr>
      <w:r>
        <w:rPr>
          <w:rFonts w:ascii="Arial" w:hAnsi="Arial" w:eastAsia="Arial" w:cs="Arial"/>
          <w:b/>
          <w:bCs/>
          <w:color w:val="000000"/>
          <w:sz w:val="24"/>
          <w:szCs w:val="24"/>
        </w:rPr>
        <w:t>6.1 Estados de una estadía</w:t>
      </w:r>
    </w:p>
    <w:p w14:paraId="0A373725">
      <w:pPr>
        <w:keepNext/>
        <w:spacing w:before="120" w:after="60"/>
        <w:jc w:val="center"/>
      </w:pPr>
      <w:r>
        <w:drawing>
          <wp:inline distT="0" distB="0" distL="0" distR="0">
            <wp:extent cx="2476500" cy="3390900"/>
            <wp:effectExtent l="0" t="0" r="0" b="0"/>
            <wp:docPr id="100001" name="Figura 2. Diagrama de estados de una estadía" descr="Figura 2. Diagrama de estados de una estadí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1" name="image100001" descr="Figura 2. Diagrama de estados de una estadía"/>
                    <pic:cNvPicPr/>
                  </pic:nvPicPr>
                  <pic:blipFill>
                    <a:blip r:embed="rId16"/>
                    <a:stretch>
                      <a:fillRect/>
                    </a:stretch>
                  </pic:blipFill>
                  <pic:spPr>
                    <a:xfrm>
                      <a:off x="0" y="0"/>
                      <a:ext cx="2476500" cy="3390900"/>
                    </a:xfrm>
                    <a:prstGeom prst="rect">
                      <a:avLst/>
                    </a:prstGeom>
                  </pic:spPr>
                </pic:pic>
              </a:graphicData>
            </a:graphic>
          </wp:inline>
        </w:drawing>
      </w:r>
    </w:p>
    <w:p w14:paraId="5911F826">
      <w:pPr>
        <w:spacing w:after="200"/>
        <w:jc w:val="center"/>
      </w:pPr>
      <w:r>
        <w:rPr>
          <w:rFonts w:ascii="Arial" w:hAnsi="Arial" w:eastAsia="Arial" w:cs="Arial"/>
          <w:b/>
          <w:bCs/>
          <w:color w:val="000000"/>
          <w:sz w:val="20"/>
          <w:szCs w:val="20"/>
        </w:rPr>
        <w:t>Figura 2. Diagrama de estados de una estadía</w:t>
      </w:r>
    </w:p>
    <w:tbl>
      <w:tblPr>
        <w:tblW w:w="9360" w:type="dxa"/>
        <w:tblBorders>
          <w:top w:val="single" w:sz="4" w:color="auto"/>
          <w:left w:val="single" w:sz="4" w:color="auto"/>
          <w:bottom w:val="single" w:sz="4" w:color="auto"/>
          <w:right w:val="single" w:sz="4" w:color="auto"/>
          <w:insideH w:val="single" w:sz="4" w:color="auto"/>
          <w:insideV w:val="single" w:sz="4" w:color="auto"/>
        </w:tblBorders>
      </w:tblPr>
      <w:tblGrid>
        <w:gridCol w:w="2000"/>
        <w:gridCol w:w="4360"/>
        <w:gridCol w:w="3000"/>
      </w:tblGrid>
      <w:tr>
        <w:trPr>
          <w:tblHeader/>
        </w:trPr>
        <w:tc>
          <w:tcPr>
            <w:tcW w:w="2000" w:type="dxa"/>
            <w:tcBorders>
              <w:top w:val="single" w:sz="4" w:color="000000"/>
              <w:left w:val="single" w:sz="4" w:color="000000"/>
              <w:bottom w:val="single" w:sz="4" w:color="000000"/>
              <w:right w:val="single" w:sz="4" w:color="000000"/>
            </w:tcBorders>
            <w:tcMar>
              <w:top w:w="60" w:type="dxa"/>
              <w:left w:w="100" w:type="dxa"/>
              <w:bottom w:w="60" w:type="dxa"/>
              <w:right w:w="100" w:type="dxa"/>
            </w:tcMar>
            <w:vAlign w:val="center"/>
          </w:tcPr>
          <w:p w14:paraId="183B3E96">
            <w:pPr>
              <w:spacing w:after="0" w:line="264"/>
            </w:pPr>
            <w:r>
              <w:rPr>
                <w:rFonts w:ascii="Arial" w:hAnsi="Arial" w:eastAsia="Arial" w:cs="Arial"/>
                <w:b/>
                <w:bCs/>
                <w:color w:val="000000"/>
                <w:sz w:val="22"/>
                <w:szCs w:val="22"/>
              </w:rPr>
              <w:t>Estado</w:t>
            </w:r>
          </w:p>
        </w:tc>
        <w:tc>
          <w:tcPr>
            <w:tcW w:w="4360" w:type="dxa"/>
            <w:tcBorders>
              <w:top w:val="single" w:sz="4" w:color="000000"/>
              <w:left w:val="single" w:sz="4" w:color="000000"/>
              <w:bottom w:val="single" w:sz="4" w:color="000000"/>
              <w:right w:val="single" w:sz="4" w:color="000000"/>
            </w:tcBorders>
            <w:tcMar>
              <w:top w:w="60" w:type="dxa"/>
              <w:left w:w="100" w:type="dxa"/>
              <w:bottom w:w="60" w:type="dxa"/>
              <w:right w:w="100" w:type="dxa"/>
            </w:tcMar>
            <w:vAlign w:val="center"/>
          </w:tcPr>
          <w:p w14:paraId="4DBA3218">
            <w:pPr>
              <w:spacing w:after="0" w:line="264"/>
            </w:pPr>
            <w:r>
              <w:rPr>
                <w:rFonts w:ascii="Arial" w:hAnsi="Arial" w:eastAsia="Arial" w:cs="Arial"/>
                <w:b/>
                <w:bCs/>
                <w:color w:val="000000"/>
                <w:sz w:val="22"/>
                <w:szCs w:val="22"/>
              </w:rPr>
              <w:t>Significado</w:t>
            </w:r>
          </w:p>
        </w:tc>
        <w:tc>
          <w:tcPr>
            <w:tcW w:w="3000" w:type="dxa"/>
            <w:tcBorders>
              <w:top w:val="single" w:sz="4" w:color="000000"/>
              <w:left w:val="single" w:sz="4" w:color="000000"/>
              <w:bottom w:val="single" w:sz="4" w:color="000000"/>
              <w:right w:val="single" w:sz="4" w:color="000000"/>
            </w:tcBorders>
            <w:tcMar>
              <w:top w:w="60" w:type="dxa"/>
              <w:left w:w="100" w:type="dxa"/>
              <w:bottom w:w="60" w:type="dxa"/>
              <w:right w:w="100" w:type="dxa"/>
            </w:tcMar>
            <w:vAlign w:val="center"/>
          </w:tcPr>
          <w:p w14:paraId="53D03B0B">
            <w:pPr>
              <w:spacing w:after="0" w:line="264"/>
            </w:pPr>
            <w:r>
              <w:rPr>
                <w:rFonts w:ascii="Arial" w:hAnsi="Arial" w:eastAsia="Arial" w:cs="Arial"/>
                <w:b/>
                <w:bCs/>
                <w:color w:val="000000"/>
                <w:sz w:val="22"/>
                <w:szCs w:val="22"/>
              </w:rPr>
              <w:t>Transición de entrada</w:t>
            </w:r>
          </w:p>
        </w:tc>
      </w:tr>
      <w:tr>
        <w:trPr>
          <w:cantSplit/>
        </w:trPr>
        <w:tc>
          <w:tcPr>
            <w:tcW w:w="2000" w:type="dxa"/>
            <w:tcBorders>
              <w:top w:val="single" w:sz="4" w:color="000000"/>
              <w:left w:val="single" w:sz="4" w:color="000000"/>
              <w:bottom w:val="single" w:sz="4" w:color="000000"/>
              <w:right w:val="single" w:sz="4" w:color="000000"/>
            </w:tcBorders>
            <w:tcMar>
              <w:top w:w="60" w:type="dxa"/>
              <w:left w:w="100" w:type="dxa"/>
              <w:bottom w:w="60" w:type="dxa"/>
              <w:right w:w="100" w:type="dxa"/>
            </w:tcMar>
            <w:vAlign w:val="center"/>
          </w:tcPr>
          <w:p w14:paraId="0F420522">
            <w:pPr>
              <w:spacing w:after="0" w:line="264"/>
            </w:pPr>
            <w:r>
              <w:rPr>
                <w:rFonts w:ascii="Arial" w:hAnsi="Arial" w:eastAsia="Arial" w:cs="Arial"/>
                <w:color w:val="000000"/>
                <w:sz w:val="22"/>
                <w:szCs w:val="22"/>
              </w:rPr>
              <w:t>Dentro</w:t>
            </w:r>
          </w:p>
        </w:tc>
        <w:tc>
          <w:tcPr>
            <w:tcW w:w="4360" w:type="dxa"/>
            <w:tcBorders>
              <w:top w:val="single" w:sz="4" w:color="000000"/>
              <w:left w:val="single" w:sz="4" w:color="000000"/>
              <w:bottom w:val="single" w:sz="4" w:color="000000"/>
              <w:right w:val="single" w:sz="4" w:color="000000"/>
            </w:tcBorders>
            <w:tcMar>
              <w:top w:w="60" w:type="dxa"/>
              <w:left w:w="100" w:type="dxa"/>
              <w:bottom w:w="60" w:type="dxa"/>
              <w:right w:w="100" w:type="dxa"/>
            </w:tcMar>
            <w:vAlign w:val="center"/>
          </w:tcPr>
          <w:p w14:paraId="1AC3378C">
            <w:pPr>
              <w:spacing w:after="0" w:line="264"/>
            </w:pPr>
            <w:r>
              <w:rPr>
                <w:rFonts w:ascii="Arial" w:hAnsi="Arial" w:eastAsia="Arial" w:cs="Arial"/>
                <w:color w:val="000000"/>
                <w:sz w:val="22"/>
                <w:szCs w:val="22"/>
              </w:rPr>
              <w:t>El vehículo se encuentra en el parqueadero.</w:t>
            </w:r>
          </w:p>
        </w:tc>
        <w:tc>
          <w:tcPr>
            <w:tcW w:w="3000" w:type="dxa"/>
            <w:tcBorders>
              <w:top w:val="single" w:sz="4" w:color="000000"/>
              <w:left w:val="single" w:sz="4" w:color="000000"/>
              <w:bottom w:val="single" w:sz="4" w:color="000000"/>
              <w:right w:val="single" w:sz="4" w:color="000000"/>
            </w:tcBorders>
            <w:tcMar>
              <w:top w:w="60" w:type="dxa"/>
              <w:left w:w="100" w:type="dxa"/>
              <w:bottom w:w="60" w:type="dxa"/>
              <w:right w:w="100" w:type="dxa"/>
            </w:tcMar>
            <w:vAlign w:val="center"/>
          </w:tcPr>
          <w:p w14:paraId="3DA4604F">
            <w:pPr>
              <w:spacing w:after="0" w:line="264"/>
            </w:pPr>
            <w:r>
              <w:rPr>
                <w:rFonts w:ascii="Arial" w:hAnsi="Arial" w:eastAsia="Arial" w:cs="Arial"/>
                <w:color w:val="000000"/>
                <w:sz w:val="22"/>
                <w:szCs w:val="22"/>
              </w:rPr>
              <w:t>Registrar ingreso (CU-03)</w:t>
            </w:r>
          </w:p>
        </w:tc>
      </w:tr>
      <w:tr>
        <w:trPr>
          <w:cantSplit/>
        </w:trPr>
        <w:tc>
          <w:tcPr>
            <w:tcW w:w="2000" w:type="dxa"/>
            <w:tcBorders>
              <w:top w:val="single" w:sz="4" w:color="000000"/>
              <w:left w:val="single" w:sz="4" w:color="000000"/>
              <w:bottom w:val="single" w:sz="4" w:color="000000"/>
              <w:right w:val="single" w:sz="4" w:color="000000"/>
            </w:tcBorders>
            <w:tcMar>
              <w:top w:w="60" w:type="dxa"/>
              <w:left w:w="100" w:type="dxa"/>
              <w:bottom w:w="60" w:type="dxa"/>
              <w:right w:w="100" w:type="dxa"/>
            </w:tcMar>
            <w:vAlign w:val="center"/>
          </w:tcPr>
          <w:p w14:paraId="7E068FB1">
            <w:pPr>
              <w:spacing w:after="0" w:line="264"/>
            </w:pPr>
            <w:r>
              <w:rPr>
                <w:rFonts w:ascii="Arial" w:hAnsi="Arial" w:eastAsia="Arial" w:cs="Arial"/>
                <w:color w:val="000000"/>
                <w:sz w:val="22"/>
                <w:szCs w:val="22"/>
              </w:rPr>
              <w:t>Pendiente de pago</w:t>
            </w:r>
          </w:p>
        </w:tc>
        <w:tc>
          <w:tcPr>
            <w:tcW w:w="4360" w:type="dxa"/>
            <w:tcBorders>
              <w:top w:val="single" w:sz="4" w:color="000000"/>
              <w:left w:val="single" w:sz="4" w:color="000000"/>
              <w:bottom w:val="single" w:sz="4" w:color="000000"/>
              <w:right w:val="single" w:sz="4" w:color="000000"/>
            </w:tcBorders>
            <w:tcMar>
              <w:top w:w="60" w:type="dxa"/>
              <w:left w:w="100" w:type="dxa"/>
              <w:bottom w:w="60" w:type="dxa"/>
              <w:right w:w="100" w:type="dxa"/>
            </w:tcMar>
            <w:vAlign w:val="center"/>
          </w:tcPr>
          <w:p w14:paraId="5671472A">
            <w:pPr>
              <w:spacing w:after="0" w:line="264"/>
            </w:pPr>
            <w:r>
              <w:rPr>
                <w:rFonts w:ascii="Arial" w:hAnsi="Arial" w:eastAsia="Arial" w:cs="Arial"/>
                <w:color w:val="000000"/>
                <w:sz w:val="22"/>
                <w:szCs w:val="22"/>
              </w:rPr>
              <w:t>La estadía está liquidada: hora de salida y valor total fijados.</w:t>
            </w:r>
          </w:p>
        </w:tc>
        <w:tc>
          <w:tcPr>
            <w:tcW w:w="3000" w:type="dxa"/>
            <w:tcBorders>
              <w:top w:val="single" w:sz="4" w:color="000000"/>
              <w:left w:val="single" w:sz="4" w:color="000000"/>
              <w:bottom w:val="single" w:sz="4" w:color="000000"/>
              <w:right w:val="single" w:sz="4" w:color="000000"/>
            </w:tcBorders>
            <w:tcMar>
              <w:top w:w="60" w:type="dxa"/>
              <w:left w:w="100" w:type="dxa"/>
              <w:bottom w:w="60" w:type="dxa"/>
              <w:right w:w="100" w:type="dxa"/>
            </w:tcMar>
            <w:vAlign w:val="center"/>
          </w:tcPr>
          <w:p w14:paraId="09037B42">
            <w:pPr>
              <w:spacing w:after="0" w:line="264"/>
            </w:pPr>
            <w:r>
              <w:rPr>
                <w:rFonts w:ascii="Arial" w:hAnsi="Arial" w:eastAsia="Arial" w:cs="Arial"/>
                <w:color w:val="000000"/>
                <w:sz w:val="22"/>
                <w:szCs w:val="22"/>
              </w:rPr>
              <w:t>Registrar salida (CU-05)</w:t>
            </w:r>
          </w:p>
        </w:tc>
      </w:tr>
      <w:tr>
        <w:trPr>
          <w:cantSplit/>
        </w:trPr>
        <w:tc>
          <w:tcPr>
            <w:tcW w:w="2000" w:type="dxa"/>
            <w:tcBorders>
              <w:top w:val="single" w:sz="4" w:color="000000"/>
              <w:left w:val="single" w:sz="4" w:color="000000"/>
              <w:bottom w:val="single" w:sz="4" w:color="000000"/>
              <w:right w:val="single" w:sz="4" w:color="000000"/>
            </w:tcBorders>
            <w:tcMar>
              <w:top w:w="60" w:type="dxa"/>
              <w:left w:w="100" w:type="dxa"/>
              <w:bottom w:w="60" w:type="dxa"/>
              <w:right w:w="100" w:type="dxa"/>
            </w:tcMar>
            <w:vAlign w:val="center"/>
          </w:tcPr>
          <w:p w14:paraId="3BA9C6C9">
            <w:pPr>
              <w:spacing w:after="0" w:line="264"/>
            </w:pPr>
            <w:r>
              <w:rPr>
                <w:rFonts w:ascii="Arial" w:hAnsi="Arial" w:eastAsia="Arial" w:cs="Arial"/>
                <w:color w:val="000000"/>
                <w:sz w:val="22"/>
                <w:szCs w:val="22"/>
              </w:rPr>
              <w:t>Cerrada</w:t>
            </w:r>
          </w:p>
        </w:tc>
        <w:tc>
          <w:tcPr>
            <w:tcW w:w="4360" w:type="dxa"/>
            <w:tcBorders>
              <w:top w:val="single" w:sz="4" w:color="000000"/>
              <w:left w:val="single" w:sz="4" w:color="000000"/>
              <w:bottom w:val="single" w:sz="4" w:color="000000"/>
              <w:right w:val="single" w:sz="4" w:color="000000"/>
            </w:tcBorders>
            <w:tcMar>
              <w:top w:w="60" w:type="dxa"/>
              <w:left w:w="100" w:type="dxa"/>
              <w:bottom w:w="60" w:type="dxa"/>
              <w:right w:w="100" w:type="dxa"/>
            </w:tcMar>
            <w:vAlign w:val="center"/>
          </w:tcPr>
          <w:p w14:paraId="5DBABADD">
            <w:pPr>
              <w:spacing w:after="0" w:line="264"/>
            </w:pPr>
            <w:r>
              <w:rPr>
                <w:rFonts w:ascii="Arial" w:hAnsi="Arial" w:eastAsia="Arial" w:cs="Arial"/>
                <w:color w:val="000000"/>
                <w:sz w:val="22"/>
                <w:szCs w:val="22"/>
              </w:rPr>
              <w:t>La estadía fue pagada; el vehículo puede salir.</w:t>
            </w:r>
          </w:p>
        </w:tc>
        <w:tc>
          <w:tcPr>
            <w:tcW w:w="3000" w:type="dxa"/>
            <w:tcBorders>
              <w:top w:val="single" w:sz="4" w:color="000000"/>
              <w:left w:val="single" w:sz="4" w:color="000000"/>
              <w:bottom w:val="single" w:sz="4" w:color="000000"/>
              <w:right w:val="single" w:sz="4" w:color="000000"/>
            </w:tcBorders>
            <w:tcMar>
              <w:top w:w="60" w:type="dxa"/>
              <w:left w:w="100" w:type="dxa"/>
              <w:bottom w:w="60" w:type="dxa"/>
              <w:right w:w="100" w:type="dxa"/>
            </w:tcMar>
            <w:vAlign w:val="center"/>
          </w:tcPr>
          <w:p w14:paraId="6E32910F">
            <w:pPr>
              <w:spacing w:after="0" w:line="264"/>
            </w:pPr>
            <w:r>
              <w:rPr>
                <w:rFonts w:ascii="Arial" w:hAnsi="Arial" w:eastAsia="Arial" w:cs="Arial"/>
                <w:color w:val="000000"/>
                <w:sz w:val="22"/>
                <w:szCs w:val="22"/>
              </w:rPr>
              <w:t>Pago confirmado (CU-02 o CU-06)</w:t>
            </w:r>
          </w:p>
        </w:tc>
      </w:tr>
    </w:tbl>
    <w:p w14:paraId="1F5F6459">
      <w:pPr>
        <w:pStyle w:val="Heading2"/>
      </w:pPr>
      <w:r>
        <w:rPr>
          <w:rFonts w:ascii="Arial" w:hAnsi="Arial" w:eastAsia="Arial" w:cs="Arial"/>
          <w:b/>
          <w:bCs/>
          <w:color w:val="000000"/>
          <w:sz w:val="24"/>
          <w:szCs w:val="24"/>
        </w:rPr>
        <w:t>6.2 Escenarios de pago</w:t>
      </w:r>
    </w:p>
    <w:p w14:paraId="7BBD5714">
      <w:pPr>
        <w:spacing w:after="120" w:line="276"/>
        <w:jc w:val="both"/>
      </w:pPr>
      <w:r>
        <w:rPr>
          <w:rFonts w:ascii="Arial" w:hAnsi="Arial" w:eastAsia="Arial" w:cs="Arial"/>
          <w:color w:val="000000"/>
          <w:sz w:val="22"/>
          <w:szCs w:val="22"/>
        </w:rPr>
        <w:t>Los escenarios se ilustran con un automóvil (tarifa de $1.800 por hora) que ingresa a las 8:00 y llega a la salida a las 10:40. La permanencia es de 160 minutos, que según RN-17 corresponden a 3 horas, es decir, $5.400.</w:t>
      </w:r>
    </w:p>
    <w:p w14:paraId="2AD14F9C">
      <w:pPr>
        <w:pStyle w:val="ListParagraph"/>
        <w:numPr>
          <w:ilvl w:val="0"/>
          <w:numId w:val="2"/>
        </w:numPr>
        <w:spacing w:after="80" w:line="276"/>
        <w:ind w:left="720" w:hanging="360"/>
        <w:jc w:val="both"/>
      </w:pPr>
      <w:r>
        <w:rPr>
          <w:rFonts w:ascii="Arial" w:hAnsi="Arial" w:eastAsia="Arial" w:cs="Arial"/>
          <w:b/>
          <w:bCs/>
          <w:color w:val="000000"/>
          <w:sz w:val="22"/>
          <w:szCs w:val="22"/>
        </w:rPr>
        <w:t xml:space="preserve">Pago en caja. </w:t>
      </w:r>
      <w:r>
        <w:rPr>
          <w:rFonts w:ascii="Arial" w:hAnsi="Arial" w:eastAsia="Arial" w:cs="Arial"/>
          <w:color w:val="000000"/>
          <w:sz w:val="22"/>
          <w:szCs w:val="22"/>
        </w:rPr>
        <w:t>El empleado registra la salida: el sistema fija la hora (10:40) y el valor ($5.400), y la estadía pasa a Pendiente de pago. El cliente paga, el empleado registra el pago en caja y la estadía pasa a Cerrada.</w:t>
      </w:r>
    </w:p>
    <w:p w14:paraId="361E60CE">
      <w:pPr>
        <w:pStyle w:val="ListParagraph"/>
        <w:numPr>
          <w:ilvl w:val="0"/>
          <w:numId w:val="2"/>
        </w:numPr>
        <w:spacing w:after="80" w:line="276"/>
        <w:ind w:left="720" w:hanging="360"/>
        <w:jc w:val="both"/>
      </w:pPr>
      <w:r>
        <w:rPr>
          <w:rFonts w:ascii="Arial" w:hAnsi="Arial" w:eastAsia="Arial" w:cs="Arial"/>
          <w:b/>
          <w:bCs/>
          <w:color w:val="000000"/>
          <w:sz w:val="22"/>
          <w:szCs w:val="22"/>
        </w:rPr>
        <w:t xml:space="preserve">Pago en línea. </w:t>
      </w:r>
      <w:r>
        <w:rPr>
          <w:rFonts w:ascii="Arial" w:hAnsi="Arial" w:eastAsia="Arial" w:cs="Arial"/>
          <w:color w:val="000000"/>
          <w:sz w:val="22"/>
          <w:szCs w:val="22"/>
        </w:rPr>
        <w:t>Después de registrada la salida, el cliente consulta el valor con su placa, ve los $5.400 definitivos y paga desde el software. Al confirmarse el pago, la estadía pasa a Cerrada.</w:t>
      </w:r>
    </w:p>
    <w:p w14:paraId="3CC83D3F">
      <w:pPr>
        <w:pStyle w:val="ListParagraph"/>
        <w:numPr>
          <w:ilvl w:val="0"/>
          <w:numId w:val="2"/>
        </w:numPr>
        <w:spacing w:after="80" w:line="276"/>
        <w:ind w:left="720" w:hanging="360"/>
        <w:jc w:val="both"/>
      </w:pPr>
      <w:r>
        <w:rPr>
          <w:rFonts w:ascii="Arial" w:hAnsi="Arial" w:eastAsia="Arial" w:cs="Arial"/>
          <w:b/>
          <w:bCs/>
          <w:color w:val="000000"/>
          <w:sz w:val="22"/>
          <w:szCs w:val="22"/>
        </w:rPr>
        <w:t xml:space="preserve">Pago en línea rechazado. </w:t>
      </w:r>
      <w:r>
        <w:rPr>
          <w:rFonts w:ascii="Arial" w:hAnsi="Arial" w:eastAsia="Arial" w:cs="Arial"/>
          <w:color w:val="000000"/>
          <w:sz w:val="22"/>
          <w:szCs w:val="22"/>
        </w:rPr>
        <w:t>La estadía permanece en Pendiente de pago (RN-12). El cliente puede reintentar o pagar en caja.</w:t>
      </w:r>
    </w:p>
    <w:p w14:paraId="34BA897C">
      <w:pPr>
        <w:pStyle w:val="ListParagraph"/>
        <w:numPr>
          <w:ilvl w:val="0"/>
          <w:numId w:val="2"/>
        </w:numPr>
        <w:spacing w:after="80" w:line="276"/>
        <w:ind w:left="720" w:hanging="360"/>
        <w:jc w:val="both"/>
      </w:pPr>
      <w:r>
        <w:rPr>
          <w:rFonts w:ascii="Arial" w:hAnsi="Arial" w:eastAsia="Arial" w:cs="Arial"/>
          <w:b/>
          <w:bCs/>
          <w:color w:val="000000"/>
          <w:sz w:val="22"/>
          <w:szCs w:val="22"/>
        </w:rPr>
        <w:t xml:space="preserve">Intento de pago sin salida registrada. </w:t>
      </w:r>
      <w:r>
        <w:rPr>
          <w:rFonts w:ascii="Arial" w:hAnsi="Arial" w:eastAsia="Arial" w:cs="Arial"/>
          <w:color w:val="000000"/>
          <w:sz w:val="22"/>
          <w:szCs w:val="22"/>
        </w:rPr>
        <w:t>El sistema rechaza el pago porque la estadía está en estado Dentro (RN-10). El cliente sí puede consultar el valor, pero lo que obtiene es un estimado a la hora actual (RN-13).</w:t>
      </w:r>
    </w:p>
    <w:p w14:paraId="78932EE0">
      <w:pPr>
        <w:pStyle w:val="ListParagraph"/>
        <w:numPr>
          <w:ilvl w:val="0"/>
          <w:numId w:val="2"/>
        </w:numPr>
        <w:spacing w:after="80" w:line="276"/>
        <w:ind w:left="720" w:hanging="360"/>
        <w:jc w:val="both"/>
      </w:pPr>
      <w:r>
        <w:rPr>
          <w:rFonts w:ascii="Arial" w:hAnsi="Arial" w:eastAsia="Arial" w:cs="Arial"/>
          <w:b/>
          <w:bCs/>
          <w:color w:val="000000"/>
          <w:sz w:val="22"/>
          <w:szCs w:val="22"/>
        </w:rPr>
        <w:t xml:space="preserve">Intento de pagar dos veces. </w:t>
      </w:r>
      <w:r>
        <w:rPr>
          <w:rFonts w:ascii="Arial" w:hAnsi="Arial" w:eastAsia="Arial" w:cs="Arial"/>
          <w:color w:val="000000"/>
          <w:sz w:val="22"/>
          <w:szCs w:val="22"/>
        </w:rPr>
        <w:t>La estadía ya está Cerrada y tiene su único pago; el sistema rechaza el segundo intento (RN-10, RN-11).</w:t>
      </w:r>
    </w:p>
    <w:p w14:paraId="29BE8ECA">
      <w:pPr>
        <w:pStyle w:val="ListParagraph"/>
        <w:numPr>
          <w:ilvl w:val="0"/>
          <w:numId w:val="2"/>
        </w:numPr>
        <w:spacing w:after="80" w:line="276"/>
        <w:ind w:left="720" w:hanging="360"/>
        <w:jc w:val="both"/>
      </w:pPr>
      <w:r>
        <w:rPr>
          <w:rFonts w:ascii="Arial" w:hAnsi="Arial" w:eastAsia="Arial" w:cs="Arial"/>
          <w:b/>
          <w:bCs/>
          <w:color w:val="000000"/>
          <w:sz w:val="22"/>
          <w:szCs w:val="22"/>
        </w:rPr>
        <w:t xml:space="preserve">Vehículo que abandona las instalaciones sin pagar. </w:t>
      </w:r>
      <w:r>
        <w:rPr>
          <w:rFonts w:ascii="Arial" w:hAnsi="Arial" w:eastAsia="Arial" w:cs="Arial"/>
          <w:color w:val="000000"/>
          <w:sz w:val="22"/>
          <w:szCs w:val="22"/>
        </w:rPr>
        <w:t>Su estadía queda en Pendiente de pago y la placa queda bloqueada para nuevos ingresos hasta que se pague (RN-08).</w:t>
      </w:r>
    </w:p>
    <w:p w14:paraId="74BE254A">
      <w:pPr>
        <w:pStyle w:val="ListParagraph"/>
        <w:numPr>
          <w:ilvl w:val="0"/>
          <w:numId w:val="2"/>
        </w:numPr>
        <w:spacing w:after="80" w:line="276"/>
        <w:ind w:left="720" w:hanging="360"/>
        <w:jc w:val="both"/>
      </w:pPr>
      <w:r>
        <w:rPr>
          <w:rFonts w:ascii="Arial" w:hAnsi="Arial" w:eastAsia="Arial" w:cs="Arial"/>
          <w:b/>
          <w:bCs/>
          <w:color w:val="000000"/>
          <w:sz w:val="22"/>
          <w:szCs w:val="22"/>
        </w:rPr>
        <w:t xml:space="preserve">Cambio de tarifa durante la permanencia. </w:t>
      </w:r>
      <w:r>
        <w:rPr>
          <w:rFonts w:ascii="Arial" w:hAnsi="Arial" w:eastAsia="Arial" w:cs="Arial"/>
          <w:color w:val="000000"/>
          <w:sz w:val="22"/>
          <w:szCs w:val="22"/>
        </w:rPr>
        <w:t>Se cobra con la tarifa vigente al momento del ingreso, que la estadía conserva (RN-01).</w:t>
      </w:r>
    </w:p>
    <w:p w14:paraId="7B50044B">
      <w:pPr>
        <w:pStyle w:val="Heading1"/>
      </w:pPr>
      <w:r>
        <w:rPr>
          <w:rFonts w:ascii="Arial" w:hAnsi="Arial" w:eastAsia="Arial" w:cs="Arial"/>
          <w:b/>
          <w:bCs/>
          <w:color w:val="000000"/>
          <w:sz w:val="28"/>
          <w:szCs w:val="28"/>
        </w:rPr>
        <w:t>7. Diseño de datos – Modelo de clases</w:t>
      </w:r>
    </w:p>
    <w:p w14:paraId="2273315A">
      <w:pPr>
        <w:spacing w:after="120" w:line="276"/>
        <w:jc w:val="both"/>
      </w:pPr>
      <w:r>
        <w:rPr>
          <w:rFonts w:ascii="Arial" w:hAnsi="Arial" w:eastAsia="Arial" w:cs="Arial"/>
          <w:color w:val="000000"/>
          <w:sz w:val="22"/>
          <w:szCs w:val="22"/>
        </w:rPr>
        <w:t>El modelo de clases representa las entidades del dominio y sus responsabilidades. Las relaciones se expresan mediante asociaciones con multiplicidades y no mediante atributos de clave foránea, que pertenecen al modelo relacional (script de base de datos) y no al modelo de objetos.</w:t>
      </w:r>
    </w:p>
    <w:p w14:paraId="28EECAE3">
      <w:pPr>
        <w:sectPr>
          <w:footerReference w:type="default" r:id="rId7"/>
          <w:pgSz w:w="12240" w:h="15840"/>
          <w:pgMar w:top="1440" w:right="1440" w:bottom="1440" w:left="1440" w:header="708" w:footer="708" w:gutter="0"/>
          <w:docGrid w:linePitch="360"/>
        </w:sectPr>
      </w:pPr>
    </w:p>
    <w:p w14:paraId="3A0B9C60">
      <w:pPr>
        <w:pStyle w:val="Heading2"/>
      </w:pPr>
      <w:r>
        <w:rPr>
          <w:rFonts w:ascii="Arial" w:hAnsi="Arial" w:eastAsia="Arial" w:cs="Arial"/>
          <w:b/>
          <w:bCs/>
          <w:color w:val="000000"/>
          <w:sz w:val="24"/>
          <w:szCs w:val="24"/>
        </w:rPr>
        <w:t>7.1 Diagrama de clases</w:t>
      </w:r>
    </w:p>
    <w:p w14:paraId="00D94224">
      <w:pPr>
        <w:keepNext/>
        <w:spacing w:before="120" w:after="60"/>
        <w:jc w:val="center"/>
      </w:pPr>
      <w:r>
        <w:drawing>
          <wp:inline distT="0" distB="0" distL="0" distR="0">
            <wp:extent cx="8191500" cy="5286375"/>
            <wp:effectExtent l="0" t="0" r="0" b="0"/>
            <wp:docPr id="100002" name="Figura 3. Diagrama de clases" descr="Figura 3. Diagrama de cla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2" name="image100002" descr="Figura 3. Diagrama de clases"/>
                    <pic:cNvPicPr/>
                  </pic:nvPicPr>
                  <pic:blipFill>
                    <a:blip r:embed="rId17"/>
                    <a:stretch>
                      <a:fillRect/>
                    </a:stretch>
                  </pic:blipFill>
                  <pic:spPr>
                    <a:xfrm>
                      <a:off x="0" y="0"/>
                      <a:ext cx="8191500" cy="5286375"/>
                    </a:xfrm>
                    <a:prstGeom prst="rect">
                      <a:avLst/>
                    </a:prstGeom>
                  </pic:spPr>
                </pic:pic>
              </a:graphicData>
            </a:graphic>
          </wp:inline>
        </w:drawing>
      </w:r>
    </w:p>
    <w:p w14:paraId="2D263F2F">
      <w:pPr>
        <w:spacing w:after="200"/>
        <w:jc w:val="center"/>
      </w:pPr>
      <w:r>
        <w:rPr>
          <w:rFonts w:ascii="Arial" w:hAnsi="Arial" w:eastAsia="Arial" w:cs="Arial"/>
          <w:b/>
          <w:bCs/>
          <w:color w:val="000000"/>
          <w:sz w:val="20"/>
          <w:szCs w:val="20"/>
        </w:rPr>
        <w:t>Figura 3. Diagrama de clases</w:t>
      </w:r>
    </w:p>
    <w:p w14:paraId="21851218">
      <w:pPr>
        <w:sectPr>
          <w:footerReference w:type="default" r:id="rId8"/>
          <w:pgSz w:w="15840" w:h="12240" w:orient="landscape"/>
          <w:pgMar w:top="1440" w:right="1440" w:bottom="1440" w:left="1440" w:header="708" w:footer="708" w:gutter="0"/>
          <w:docGrid w:linePitch="360"/>
        </w:sectPr>
      </w:pPr>
    </w:p>
    <w:p w14:paraId="355E5773">
      <w:pPr>
        <w:pStyle w:val="Heading2"/>
      </w:pPr>
      <w:r>
        <w:rPr>
          <w:rFonts w:ascii="Arial" w:hAnsi="Arial" w:eastAsia="Arial" w:cs="Arial"/>
          <w:b/>
          <w:bCs/>
          <w:color w:val="000000"/>
          <w:sz w:val="24"/>
          <w:szCs w:val="24"/>
        </w:rPr>
        <w:t>7.2 Clases y responsabilidades</w:t>
      </w:r>
    </w:p>
    <w:tbl>
      <w:tblPr>
        <w:tblW w:w="9360" w:type="dxa"/>
        <w:tblBorders>
          <w:top w:val="single" w:sz="4" w:color="auto"/>
          <w:left w:val="single" w:sz="4" w:color="auto"/>
          <w:bottom w:val="single" w:sz="4" w:color="auto"/>
          <w:right w:val="single" w:sz="4" w:color="auto"/>
          <w:insideH w:val="single" w:sz="4" w:color="auto"/>
          <w:insideV w:val="single" w:sz="4" w:color="auto"/>
        </w:tblBorders>
      </w:tblPr>
      <w:tblGrid>
        <w:gridCol w:w="2400"/>
        <w:gridCol w:w="6960"/>
      </w:tblGrid>
      <w:tr>
        <w:trPr>
          <w:tblHeader/>
        </w:trPr>
        <w:tc>
          <w:tcPr>
            <w:tcW w:w="2400" w:type="dxa"/>
            <w:tcBorders>
              <w:top w:val="single" w:sz="4" w:color="000000"/>
              <w:left w:val="single" w:sz="4" w:color="000000"/>
              <w:bottom w:val="single" w:sz="4" w:color="000000"/>
              <w:right w:val="single" w:sz="4" w:color="000000"/>
            </w:tcBorders>
            <w:tcMar>
              <w:top w:w="60" w:type="dxa"/>
              <w:left w:w="100" w:type="dxa"/>
              <w:bottom w:w="60" w:type="dxa"/>
              <w:right w:w="100" w:type="dxa"/>
            </w:tcMar>
            <w:vAlign w:val="center"/>
          </w:tcPr>
          <w:p w14:paraId="649DA2DF">
            <w:pPr>
              <w:spacing w:after="0" w:line="264"/>
            </w:pPr>
            <w:r>
              <w:rPr>
                <w:rFonts w:ascii="Arial" w:hAnsi="Arial" w:eastAsia="Arial" w:cs="Arial"/>
                <w:b/>
                <w:bCs/>
                <w:color w:val="000000"/>
                <w:sz w:val="22"/>
                <w:szCs w:val="22"/>
              </w:rPr>
              <w:t>Clase</w:t>
            </w:r>
          </w:p>
        </w:tc>
        <w:tc>
          <w:tcPr>
            <w:tcW w:w="6960" w:type="dxa"/>
            <w:tcBorders>
              <w:top w:val="single" w:sz="4" w:color="000000"/>
              <w:left w:val="single" w:sz="4" w:color="000000"/>
              <w:bottom w:val="single" w:sz="4" w:color="000000"/>
              <w:right w:val="single" w:sz="4" w:color="000000"/>
            </w:tcBorders>
            <w:tcMar>
              <w:top w:w="60" w:type="dxa"/>
              <w:left w:w="100" w:type="dxa"/>
              <w:bottom w:w="60" w:type="dxa"/>
              <w:right w:w="100" w:type="dxa"/>
            </w:tcMar>
            <w:vAlign w:val="center"/>
          </w:tcPr>
          <w:p w14:paraId="46FBC22D">
            <w:pPr>
              <w:spacing w:after="0" w:line="264"/>
            </w:pPr>
            <w:r>
              <w:rPr>
                <w:rFonts w:ascii="Arial" w:hAnsi="Arial" w:eastAsia="Arial" w:cs="Arial"/>
                <w:b/>
                <w:bCs/>
                <w:color w:val="000000"/>
                <w:sz w:val="22"/>
                <w:szCs w:val="22"/>
              </w:rPr>
              <w:t>Responsabilidad</w:t>
            </w:r>
          </w:p>
        </w:tc>
      </w:tr>
      <w:tr>
        <w:trPr>
          <w:cantSplit/>
        </w:trPr>
        <w:tc>
          <w:tcPr>
            <w:tcW w:w="2400" w:type="dxa"/>
            <w:tcBorders>
              <w:top w:val="single" w:sz="4" w:color="000000"/>
              <w:left w:val="single" w:sz="4" w:color="000000"/>
              <w:bottom w:val="single" w:sz="4" w:color="000000"/>
              <w:right w:val="single" w:sz="4" w:color="000000"/>
            </w:tcBorders>
            <w:tcMar>
              <w:top w:w="60" w:type="dxa"/>
              <w:left w:w="100" w:type="dxa"/>
              <w:bottom w:w="60" w:type="dxa"/>
              <w:right w:w="100" w:type="dxa"/>
            </w:tcMar>
            <w:vAlign w:val="center"/>
          </w:tcPr>
          <w:p w14:paraId="2E9E6019">
            <w:pPr>
              <w:spacing w:after="0" w:line="264"/>
            </w:pPr>
            <w:r>
              <w:rPr>
                <w:rFonts w:ascii="Arial" w:hAnsi="Arial" w:eastAsia="Arial" w:cs="Arial"/>
                <w:color w:val="000000"/>
                <w:sz w:val="22"/>
                <w:szCs w:val="22"/>
              </w:rPr>
              <w:t>TipoVehiculo</w:t>
            </w:r>
          </w:p>
        </w:tc>
        <w:tc>
          <w:tcPr>
            <w:tcW w:w="6960" w:type="dxa"/>
            <w:tcBorders>
              <w:top w:val="single" w:sz="4" w:color="000000"/>
              <w:left w:val="single" w:sz="4" w:color="000000"/>
              <w:bottom w:val="single" w:sz="4" w:color="000000"/>
              <w:right w:val="single" w:sz="4" w:color="000000"/>
            </w:tcBorders>
            <w:tcMar>
              <w:top w:w="60" w:type="dxa"/>
              <w:left w:w="100" w:type="dxa"/>
              <w:bottom w:w="60" w:type="dxa"/>
              <w:right w:w="100" w:type="dxa"/>
            </w:tcMar>
            <w:vAlign w:val="center"/>
          </w:tcPr>
          <w:p w14:paraId="6B3E1705">
            <w:pPr>
              <w:spacing w:after="0" w:line="264"/>
            </w:pPr>
            <w:r>
              <w:rPr>
                <w:rFonts w:ascii="Arial" w:hAnsi="Arial" w:eastAsia="Arial" w:cs="Arial"/>
                <w:color w:val="000000"/>
                <w:sz w:val="22"/>
                <w:szCs w:val="22"/>
              </w:rPr>
              <w:t>Representa una categoría de vehículo configurable por el Administrador. Indica si está activa y se desactiva en lugar de eliminarse (RN-14).</w:t>
            </w:r>
          </w:p>
        </w:tc>
      </w:tr>
      <w:tr>
        <w:trPr>
          <w:cantSplit/>
        </w:trPr>
        <w:tc>
          <w:tcPr>
            <w:tcW w:w="2400" w:type="dxa"/>
            <w:tcBorders>
              <w:top w:val="single" w:sz="4" w:color="000000"/>
              <w:left w:val="single" w:sz="4" w:color="000000"/>
              <w:bottom w:val="single" w:sz="4" w:color="000000"/>
              <w:right w:val="single" w:sz="4" w:color="000000"/>
            </w:tcBorders>
            <w:tcMar>
              <w:top w:w="60" w:type="dxa"/>
              <w:left w:w="100" w:type="dxa"/>
              <w:bottom w:w="60" w:type="dxa"/>
              <w:right w:w="100" w:type="dxa"/>
            </w:tcMar>
            <w:vAlign w:val="center"/>
          </w:tcPr>
          <w:p w14:paraId="15BBF2A0">
            <w:pPr>
              <w:spacing w:after="0" w:line="264"/>
            </w:pPr>
            <w:r>
              <w:rPr>
                <w:rFonts w:ascii="Arial" w:hAnsi="Arial" w:eastAsia="Arial" w:cs="Arial"/>
                <w:color w:val="000000"/>
                <w:sz w:val="22"/>
                <w:szCs w:val="22"/>
              </w:rPr>
              <w:t>Tarifa</w:t>
            </w:r>
          </w:p>
        </w:tc>
        <w:tc>
          <w:tcPr>
            <w:tcW w:w="6960" w:type="dxa"/>
            <w:tcBorders>
              <w:top w:val="single" w:sz="4" w:color="000000"/>
              <w:left w:val="single" w:sz="4" w:color="000000"/>
              <w:bottom w:val="single" w:sz="4" w:color="000000"/>
              <w:right w:val="single" w:sz="4" w:color="000000"/>
            </w:tcBorders>
            <w:tcMar>
              <w:top w:w="60" w:type="dxa"/>
              <w:left w:w="100" w:type="dxa"/>
              <w:bottom w:w="60" w:type="dxa"/>
              <w:right w:w="100" w:type="dxa"/>
            </w:tcMar>
            <w:vAlign w:val="center"/>
          </w:tcPr>
          <w:p w14:paraId="3A981A87">
            <w:pPr>
              <w:spacing w:after="0" w:line="264"/>
            </w:pPr>
            <w:r>
              <w:rPr>
                <w:rFonts w:ascii="Arial" w:hAnsi="Arial" w:eastAsia="Arial" w:cs="Arial"/>
                <w:color w:val="000000"/>
                <w:sz w:val="22"/>
                <w:szCs w:val="22"/>
              </w:rPr>
              <w:t>Valor por hora de un tipo de vehículo durante un periodo de vigencia. Indica si está vigente en una fecha y se cierra cuando es reemplazada (RN-04).</w:t>
            </w:r>
          </w:p>
        </w:tc>
      </w:tr>
      <w:tr>
        <w:trPr>
          <w:cantSplit/>
        </w:trPr>
        <w:tc>
          <w:tcPr>
            <w:tcW w:w="2400" w:type="dxa"/>
            <w:tcBorders>
              <w:top w:val="single" w:sz="4" w:color="000000"/>
              <w:left w:val="single" w:sz="4" w:color="000000"/>
              <w:bottom w:val="single" w:sz="4" w:color="000000"/>
              <w:right w:val="single" w:sz="4" w:color="000000"/>
            </w:tcBorders>
            <w:tcMar>
              <w:top w:w="60" w:type="dxa"/>
              <w:left w:w="100" w:type="dxa"/>
              <w:bottom w:w="60" w:type="dxa"/>
              <w:right w:w="100" w:type="dxa"/>
            </w:tcMar>
            <w:vAlign w:val="center"/>
          </w:tcPr>
          <w:p w14:paraId="38FE162F">
            <w:pPr>
              <w:spacing w:after="0" w:line="264"/>
            </w:pPr>
            <w:r>
              <w:rPr>
                <w:rFonts w:ascii="Arial" w:hAnsi="Arial" w:eastAsia="Arial" w:cs="Arial"/>
                <w:color w:val="000000"/>
                <w:sz w:val="22"/>
                <w:szCs w:val="22"/>
              </w:rPr>
              <w:t>Vehiculo</w:t>
            </w:r>
          </w:p>
        </w:tc>
        <w:tc>
          <w:tcPr>
            <w:tcW w:w="6960" w:type="dxa"/>
            <w:tcBorders>
              <w:top w:val="single" w:sz="4" w:color="000000"/>
              <w:left w:val="single" w:sz="4" w:color="000000"/>
              <w:bottom w:val="single" w:sz="4" w:color="000000"/>
              <w:right w:val="single" w:sz="4" w:color="000000"/>
            </w:tcBorders>
            <w:tcMar>
              <w:top w:w="60" w:type="dxa"/>
              <w:left w:w="100" w:type="dxa"/>
              <w:bottom w:w="60" w:type="dxa"/>
              <w:right w:w="100" w:type="dxa"/>
            </w:tcMar>
            <w:vAlign w:val="center"/>
          </w:tcPr>
          <w:p w14:paraId="02090000">
            <w:pPr>
              <w:spacing w:after="0" w:line="264"/>
            </w:pPr>
            <w:r>
              <w:rPr>
                <w:rFonts w:ascii="Arial" w:hAnsi="Arial" w:eastAsia="Arial" w:cs="Arial"/>
                <w:color w:val="000000"/>
                <w:sz w:val="22"/>
                <w:szCs w:val="22"/>
              </w:rPr>
              <w:t>Vehículo identificado por su placa y asociado a un único tipo (RN-05).</w:t>
            </w:r>
          </w:p>
        </w:tc>
      </w:tr>
      <w:tr>
        <w:trPr>
          <w:cantSplit/>
        </w:trPr>
        <w:tc>
          <w:tcPr>
            <w:tcW w:w="2400" w:type="dxa"/>
            <w:tcBorders>
              <w:top w:val="single" w:sz="4" w:color="000000"/>
              <w:left w:val="single" w:sz="4" w:color="000000"/>
              <w:bottom w:val="single" w:sz="4" w:color="000000"/>
              <w:right w:val="single" w:sz="4" w:color="000000"/>
            </w:tcBorders>
            <w:tcMar>
              <w:top w:w="60" w:type="dxa"/>
              <w:left w:w="100" w:type="dxa"/>
              <w:bottom w:w="60" w:type="dxa"/>
              <w:right w:w="100" w:type="dxa"/>
            </w:tcMar>
            <w:vAlign w:val="center"/>
          </w:tcPr>
          <w:p w14:paraId="1DCB5A4E">
            <w:pPr>
              <w:spacing w:after="0" w:line="264"/>
            </w:pPr>
            <w:r>
              <w:rPr>
                <w:rFonts w:ascii="Arial" w:hAnsi="Arial" w:eastAsia="Arial" w:cs="Arial"/>
                <w:color w:val="000000"/>
                <w:sz w:val="22"/>
                <w:szCs w:val="22"/>
              </w:rPr>
              <w:t>Estadia</w:t>
            </w:r>
          </w:p>
        </w:tc>
        <w:tc>
          <w:tcPr>
            <w:tcW w:w="6960" w:type="dxa"/>
            <w:tcBorders>
              <w:top w:val="single" w:sz="4" w:color="000000"/>
              <w:left w:val="single" w:sz="4" w:color="000000"/>
              <w:bottom w:val="single" w:sz="4" w:color="000000"/>
              <w:right w:val="single" w:sz="4" w:color="000000"/>
            </w:tcBorders>
            <w:tcMar>
              <w:top w:w="60" w:type="dxa"/>
              <w:left w:w="100" w:type="dxa"/>
              <w:bottom w:w="60" w:type="dxa"/>
              <w:right w:w="100" w:type="dxa"/>
            </w:tcMar>
            <w:vAlign w:val="center"/>
          </w:tcPr>
          <w:p w14:paraId="30B3285E">
            <w:pPr>
              <w:spacing w:after="0" w:line="264"/>
            </w:pPr>
            <w:r>
              <w:rPr>
                <w:rFonts w:ascii="Arial" w:hAnsi="Arial" w:eastAsia="Arial" w:cs="Arial"/>
                <w:color w:val="000000"/>
                <w:sz w:val="22"/>
                <w:szCs w:val="22"/>
              </w:rPr>
              <w:t>Permanencia de un vehículo en el parqueadero. Nace en un estado válido mediante iniciar, que verifica que la tarifa corresponda al tipo del vehículo, que esté vigente en la fecha de ingreso y que el tipo esté activo. Calcula el valor estimado o definitivo (RN-13), registra la salida calculando el valor con la política de cobro, crea su pago y controla sus transiciones de estado (RN-07, RN-10, RN-11).</w:t>
            </w:r>
          </w:p>
        </w:tc>
      </w:tr>
      <w:tr>
        <w:trPr>
          <w:cantSplit/>
        </w:trPr>
        <w:tc>
          <w:tcPr>
            <w:tcW w:w="2400" w:type="dxa"/>
            <w:tcBorders>
              <w:top w:val="single" w:sz="4" w:color="000000"/>
              <w:left w:val="single" w:sz="4" w:color="000000"/>
              <w:bottom w:val="single" w:sz="4" w:color="000000"/>
              <w:right w:val="single" w:sz="4" w:color="000000"/>
            </w:tcBorders>
            <w:tcMar>
              <w:top w:w="60" w:type="dxa"/>
              <w:left w:w="100" w:type="dxa"/>
              <w:bottom w:w="60" w:type="dxa"/>
              <w:right w:w="100" w:type="dxa"/>
            </w:tcMar>
            <w:vAlign w:val="center"/>
          </w:tcPr>
          <w:p w14:paraId="5BF1850E">
            <w:pPr>
              <w:spacing w:after="0" w:line="264"/>
            </w:pPr>
            <w:r>
              <w:rPr>
                <w:rFonts w:ascii="Arial" w:hAnsi="Arial" w:eastAsia="Arial" w:cs="Arial"/>
                <w:color w:val="000000"/>
                <w:sz w:val="22"/>
                <w:szCs w:val="22"/>
              </w:rPr>
              <w:t>Pago</w:t>
            </w:r>
          </w:p>
        </w:tc>
        <w:tc>
          <w:tcPr>
            <w:tcW w:w="6960" w:type="dxa"/>
            <w:tcBorders>
              <w:top w:val="single" w:sz="4" w:color="000000"/>
              <w:left w:val="single" w:sz="4" w:color="000000"/>
              <w:bottom w:val="single" w:sz="4" w:color="000000"/>
              <w:right w:val="single" w:sz="4" w:color="000000"/>
            </w:tcBorders>
            <w:tcMar>
              <w:top w:w="60" w:type="dxa"/>
              <w:left w:w="100" w:type="dxa"/>
              <w:bottom w:w="60" w:type="dxa"/>
              <w:right w:w="100" w:type="dxa"/>
            </w:tcMar>
            <w:vAlign w:val="center"/>
          </w:tcPr>
          <w:p w14:paraId="57BC6411">
            <w:pPr>
              <w:spacing w:after="0" w:line="264"/>
            </w:pPr>
            <w:r>
              <w:rPr>
                <w:rFonts w:ascii="Arial" w:hAnsi="Arial" w:eastAsia="Arial" w:cs="Arial"/>
                <w:color w:val="000000"/>
                <w:sz w:val="22"/>
                <w:szCs w:val="22"/>
              </w:rPr>
              <w:t>Pago de una estadía: valor, fecha, canal y referencia de la transacción en los pagos en línea. Solo lo crea la estadía, por lo que su valor siempre coincide con el valor liquidado.</w:t>
            </w:r>
          </w:p>
        </w:tc>
      </w:tr>
      <w:tr>
        <w:trPr>
          <w:cantSplit/>
        </w:trPr>
        <w:tc>
          <w:tcPr>
            <w:tcW w:w="2400" w:type="dxa"/>
            <w:tcBorders>
              <w:top w:val="single" w:sz="4" w:color="000000"/>
              <w:left w:val="single" w:sz="4" w:color="000000"/>
              <w:bottom w:val="single" w:sz="4" w:color="000000"/>
              <w:right w:val="single" w:sz="4" w:color="000000"/>
            </w:tcBorders>
            <w:tcMar>
              <w:top w:w="60" w:type="dxa"/>
              <w:left w:w="100" w:type="dxa"/>
              <w:bottom w:w="60" w:type="dxa"/>
              <w:right w:w="100" w:type="dxa"/>
            </w:tcMar>
            <w:vAlign w:val="center"/>
          </w:tcPr>
          <w:p w14:paraId="2845BD47">
            <w:pPr>
              <w:spacing w:after="0" w:line="264"/>
            </w:pPr>
            <w:r>
              <w:rPr>
                <w:rFonts w:ascii="Arial" w:hAnsi="Arial" w:eastAsia="Arial" w:cs="Arial"/>
                <w:color w:val="000000"/>
                <w:sz w:val="22"/>
                <w:szCs w:val="22"/>
              </w:rPr>
              <w:t>Usuario</w:t>
            </w:r>
          </w:p>
        </w:tc>
        <w:tc>
          <w:tcPr>
            <w:tcW w:w="6960" w:type="dxa"/>
            <w:tcBorders>
              <w:top w:val="single" w:sz="4" w:color="000000"/>
              <w:left w:val="single" w:sz="4" w:color="000000"/>
              <w:bottom w:val="single" w:sz="4" w:color="000000"/>
              <w:right w:val="single" w:sz="4" w:color="000000"/>
            </w:tcBorders>
            <w:tcMar>
              <w:top w:w="60" w:type="dxa"/>
              <w:left w:w="100" w:type="dxa"/>
              <w:bottom w:w="60" w:type="dxa"/>
              <w:right w:w="100" w:type="dxa"/>
            </w:tcMar>
            <w:vAlign w:val="center"/>
          </w:tcPr>
          <w:p w14:paraId="16B9E8D2">
            <w:pPr>
              <w:spacing w:after="0" w:line="264"/>
            </w:pPr>
            <w:r>
              <w:rPr>
                <w:rFonts w:ascii="Arial" w:hAnsi="Arial" w:eastAsia="Arial" w:cs="Arial"/>
                <w:color w:val="000000"/>
                <w:sz w:val="22"/>
                <w:szCs w:val="22"/>
              </w:rPr>
              <w:t>Persona que opera el sistema con un rol. Se desactiva en lugar de eliminarse (RN-20).</w:t>
            </w:r>
          </w:p>
        </w:tc>
      </w:tr>
      <w:tr>
        <w:trPr>
          <w:cantSplit/>
        </w:trPr>
        <w:tc>
          <w:tcPr>
            <w:tcW w:w="2400" w:type="dxa"/>
            <w:tcBorders>
              <w:top w:val="single" w:sz="4" w:color="000000"/>
              <w:left w:val="single" w:sz="4" w:color="000000"/>
              <w:bottom w:val="single" w:sz="4" w:color="000000"/>
              <w:right w:val="single" w:sz="4" w:color="000000"/>
            </w:tcBorders>
            <w:tcMar>
              <w:top w:w="60" w:type="dxa"/>
              <w:left w:w="100" w:type="dxa"/>
              <w:bottom w:w="60" w:type="dxa"/>
              <w:right w:w="100" w:type="dxa"/>
            </w:tcMar>
            <w:vAlign w:val="center"/>
          </w:tcPr>
          <w:p w14:paraId="6C20FBA4">
            <w:pPr>
              <w:spacing w:after="0" w:line="264"/>
            </w:pPr>
            <w:r>
              <w:rPr>
                <w:rFonts w:ascii="Arial" w:hAnsi="Arial" w:eastAsia="Arial" w:cs="Arial"/>
                <w:color w:val="000000"/>
                <w:sz w:val="22"/>
                <w:szCs w:val="22"/>
              </w:rPr>
              <w:t>PoliticaCobro</w:t>
            </w:r>
          </w:p>
        </w:tc>
        <w:tc>
          <w:tcPr>
            <w:tcW w:w="6960" w:type="dxa"/>
            <w:tcBorders>
              <w:top w:val="single" w:sz="4" w:color="000000"/>
              <w:left w:val="single" w:sz="4" w:color="000000"/>
              <w:bottom w:val="single" w:sz="4" w:color="000000"/>
              <w:right w:val="single" w:sz="4" w:color="000000"/>
            </w:tcBorders>
            <w:tcMar>
              <w:top w:w="60" w:type="dxa"/>
              <w:left w:w="100" w:type="dxa"/>
              <w:bottom w:w="60" w:type="dxa"/>
              <w:right w:w="100" w:type="dxa"/>
            </w:tcMar>
            <w:vAlign w:val="center"/>
          </w:tcPr>
          <w:p w14:paraId="58CC2643">
            <w:pPr>
              <w:spacing w:after="0" w:line="264"/>
            </w:pPr>
            <w:r>
              <w:rPr>
                <w:rFonts w:ascii="Arial" w:hAnsi="Arial" w:eastAsia="Arial" w:cs="Arial"/>
                <w:color w:val="000000"/>
                <w:sz w:val="22"/>
                <w:szCs w:val="22"/>
              </w:rPr>
              <w:t>Interfaz que convierte un tiempo de permanencia en un valor a pagar a partir de una tarifa.</w:t>
            </w:r>
          </w:p>
        </w:tc>
      </w:tr>
      <w:tr>
        <w:trPr>
          <w:cantSplit/>
        </w:trPr>
        <w:tc>
          <w:tcPr>
            <w:tcW w:w="2400" w:type="dxa"/>
            <w:tcBorders>
              <w:top w:val="single" w:sz="4" w:color="000000"/>
              <w:left w:val="single" w:sz="4" w:color="000000"/>
              <w:bottom w:val="single" w:sz="4" w:color="000000"/>
              <w:right w:val="single" w:sz="4" w:color="000000"/>
            </w:tcBorders>
            <w:tcMar>
              <w:top w:w="60" w:type="dxa"/>
              <w:left w:w="100" w:type="dxa"/>
              <w:bottom w:w="60" w:type="dxa"/>
              <w:right w:w="100" w:type="dxa"/>
            </w:tcMar>
            <w:vAlign w:val="center"/>
          </w:tcPr>
          <w:p w14:paraId="28279A39">
            <w:pPr>
              <w:spacing w:after="0" w:line="264"/>
            </w:pPr>
            <w:r>
              <w:rPr>
                <w:rFonts w:ascii="Arial" w:hAnsi="Arial" w:eastAsia="Arial" w:cs="Arial"/>
                <w:color w:val="000000"/>
                <w:sz w:val="22"/>
                <w:szCs w:val="22"/>
              </w:rPr>
              <w:t>CobroPorHoraIniciada</w:t>
            </w:r>
          </w:p>
        </w:tc>
        <w:tc>
          <w:tcPr>
            <w:tcW w:w="6960" w:type="dxa"/>
            <w:tcBorders>
              <w:top w:val="single" w:sz="4" w:color="000000"/>
              <w:left w:val="single" w:sz="4" w:color="000000"/>
              <w:bottom w:val="single" w:sz="4" w:color="000000"/>
              <w:right w:val="single" w:sz="4" w:color="000000"/>
            </w:tcBorders>
            <w:tcMar>
              <w:top w:w="60" w:type="dxa"/>
              <w:left w:w="100" w:type="dxa"/>
              <w:bottom w:w="60" w:type="dxa"/>
              <w:right w:w="100" w:type="dxa"/>
            </w:tcMar>
            <w:vAlign w:val="center"/>
          </w:tcPr>
          <w:p w14:paraId="628C6224">
            <w:pPr>
              <w:spacing w:after="0" w:line="264"/>
            </w:pPr>
            <w:r>
              <w:rPr>
                <w:rFonts w:ascii="Arial" w:hAnsi="Arial" w:eastAsia="Arial" w:cs="Arial"/>
                <w:color w:val="000000"/>
                <w:sz w:val="22"/>
                <w:szCs w:val="22"/>
              </w:rPr>
              <w:t>Implementación vigente de la política de cobro: toda hora iniciada se cobra completa, con mínimo de una hora (RN-02, RN-17).</w:t>
            </w:r>
          </w:p>
        </w:tc>
      </w:tr>
      <w:tr>
        <w:trPr>
          <w:cantSplit/>
        </w:trPr>
        <w:tc>
          <w:tcPr>
            <w:tcW w:w="2400" w:type="dxa"/>
            <w:tcBorders>
              <w:top w:val="single" w:sz="4" w:color="000000"/>
              <w:left w:val="single" w:sz="4" w:color="000000"/>
              <w:bottom w:val="single" w:sz="4" w:color="000000"/>
              <w:right w:val="single" w:sz="4" w:color="000000"/>
            </w:tcBorders>
            <w:tcMar>
              <w:top w:w="60" w:type="dxa"/>
              <w:left w:w="100" w:type="dxa"/>
              <w:bottom w:w="60" w:type="dxa"/>
              <w:right w:w="100" w:type="dxa"/>
            </w:tcMar>
            <w:vAlign w:val="center"/>
          </w:tcPr>
          <w:p w14:paraId="0D037E8F">
            <w:pPr>
              <w:spacing w:after="0" w:line="264"/>
            </w:pPr>
            <w:r>
              <w:rPr>
                <w:rFonts w:ascii="Arial" w:hAnsi="Arial" w:eastAsia="Arial" w:cs="Arial"/>
                <w:color w:val="000000"/>
                <w:sz w:val="22"/>
                <w:szCs w:val="22"/>
              </w:rPr>
              <w:t>EstadoEstadia</w:t>
            </w:r>
          </w:p>
        </w:tc>
        <w:tc>
          <w:tcPr>
            <w:tcW w:w="6960" w:type="dxa"/>
            <w:tcBorders>
              <w:top w:val="single" w:sz="4" w:color="000000"/>
              <w:left w:val="single" w:sz="4" w:color="000000"/>
              <w:bottom w:val="single" w:sz="4" w:color="000000"/>
              <w:right w:val="single" w:sz="4" w:color="000000"/>
            </w:tcBorders>
            <w:tcMar>
              <w:top w:w="60" w:type="dxa"/>
              <w:left w:w="100" w:type="dxa"/>
              <w:bottom w:w="60" w:type="dxa"/>
              <w:right w:w="100" w:type="dxa"/>
            </w:tcMar>
            <w:vAlign w:val="center"/>
          </w:tcPr>
          <w:p w14:paraId="251D3A94">
            <w:pPr>
              <w:spacing w:after="0" w:line="264"/>
            </w:pPr>
            <w:r>
              <w:rPr>
                <w:rFonts w:ascii="Arial" w:hAnsi="Arial" w:eastAsia="Arial" w:cs="Arial"/>
                <w:color w:val="000000"/>
                <w:sz w:val="22"/>
                <w:szCs w:val="22"/>
              </w:rPr>
              <w:t>Enumeración de los estados de una estadía: DENTRO, PENDIENTE_PAGO, CERRADA.</w:t>
            </w:r>
          </w:p>
        </w:tc>
      </w:tr>
      <w:tr>
        <w:trPr>
          <w:cantSplit/>
        </w:trPr>
        <w:tc>
          <w:tcPr>
            <w:tcW w:w="2400" w:type="dxa"/>
            <w:tcBorders>
              <w:top w:val="single" w:sz="4" w:color="000000"/>
              <w:left w:val="single" w:sz="4" w:color="000000"/>
              <w:bottom w:val="single" w:sz="4" w:color="000000"/>
              <w:right w:val="single" w:sz="4" w:color="000000"/>
            </w:tcBorders>
            <w:tcMar>
              <w:top w:w="60" w:type="dxa"/>
              <w:left w:w="100" w:type="dxa"/>
              <w:bottom w:w="60" w:type="dxa"/>
              <w:right w:w="100" w:type="dxa"/>
            </w:tcMar>
            <w:vAlign w:val="center"/>
          </w:tcPr>
          <w:p w14:paraId="1E90A26C">
            <w:pPr>
              <w:spacing w:after="0" w:line="264"/>
            </w:pPr>
            <w:r>
              <w:rPr>
                <w:rFonts w:ascii="Arial" w:hAnsi="Arial" w:eastAsia="Arial" w:cs="Arial"/>
                <w:color w:val="000000"/>
                <w:sz w:val="22"/>
                <w:szCs w:val="22"/>
              </w:rPr>
              <w:t>CanalPago</w:t>
            </w:r>
          </w:p>
        </w:tc>
        <w:tc>
          <w:tcPr>
            <w:tcW w:w="6960" w:type="dxa"/>
            <w:tcBorders>
              <w:top w:val="single" w:sz="4" w:color="000000"/>
              <w:left w:val="single" w:sz="4" w:color="000000"/>
              <w:bottom w:val="single" w:sz="4" w:color="000000"/>
              <w:right w:val="single" w:sz="4" w:color="000000"/>
            </w:tcBorders>
            <w:tcMar>
              <w:top w:w="60" w:type="dxa"/>
              <w:left w:w="100" w:type="dxa"/>
              <w:bottom w:w="60" w:type="dxa"/>
              <w:right w:w="100" w:type="dxa"/>
            </w:tcMar>
            <w:vAlign w:val="center"/>
          </w:tcPr>
          <w:p w14:paraId="6FA99CA7">
            <w:pPr>
              <w:spacing w:after="0" w:line="264"/>
            </w:pPr>
            <w:r>
              <w:rPr>
                <w:rFonts w:ascii="Arial" w:hAnsi="Arial" w:eastAsia="Arial" w:cs="Arial"/>
                <w:color w:val="000000"/>
                <w:sz w:val="22"/>
                <w:szCs w:val="22"/>
              </w:rPr>
              <w:t>Enumeración del canal por el que se realiza el pago: CAJA, EN_LINEA.</w:t>
            </w:r>
          </w:p>
        </w:tc>
      </w:tr>
      <w:tr>
        <w:trPr>
          <w:cantSplit/>
        </w:trPr>
        <w:tc>
          <w:tcPr>
            <w:tcW w:w="2400" w:type="dxa"/>
            <w:tcBorders>
              <w:top w:val="single" w:sz="4" w:color="000000"/>
              <w:left w:val="single" w:sz="4" w:color="000000"/>
              <w:bottom w:val="single" w:sz="4" w:color="000000"/>
              <w:right w:val="single" w:sz="4" w:color="000000"/>
            </w:tcBorders>
            <w:tcMar>
              <w:top w:w="60" w:type="dxa"/>
              <w:left w:w="100" w:type="dxa"/>
              <w:bottom w:w="60" w:type="dxa"/>
              <w:right w:w="100" w:type="dxa"/>
            </w:tcMar>
            <w:vAlign w:val="center"/>
          </w:tcPr>
          <w:p w14:paraId="2D39AEB7">
            <w:pPr>
              <w:spacing w:after="0" w:line="264"/>
            </w:pPr>
            <w:r>
              <w:rPr>
                <w:rFonts w:ascii="Arial" w:hAnsi="Arial" w:eastAsia="Arial" w:cs="Arial"/>
                <w:color w:val="000000"/>
                <w:sz w:val="22"/>
                <w:szCs w:val="22"/>
              </w:rPr>
              <w:t>Rol</w:t>
            </w:r>
          </w:p>
        </w:tc>
        <w:tc>
          <w:tcPr>
            <w:tcW w:w="6960" w:type="dxa"/>
            <w:tcBorders>
              <w:top w:val="single" w:sz="4" w:color="000000"/>
              <w:left w:val="single" w:sz="4" w:color="000000"/>
              <w:bottom w:val="single" w:sz="4" w:color="000000"/>
              <w:right w:val="single" w:sz="4" w:color="000000"/>
            </w:tcBorders>
            <w:tcMar>
              <w:top w:w="60" w:type="dxa"/>
              <w:left w:w="100" w:type="dxa"/>
              <w:bottom w:w="60" w:type="dxa"/>
              <w:right w:w="100" w:type="dxa"/>
            </w:tcMar>
            <w:vAlign w:val="center"/>
          </w:tcPr>
          <w:p w14:paraId="54D6032B">
            <w:pPr>
              <w:spacing w:after="0" w:line="264"/>
            </w:pPr>
            <w:r>
              <w:rPr>
                <w:rFonts w:ascii="Arial" w:hAnsi="Arial" w:eastAsia="Arial" w:cs="Arial"/>
                <w:color w:val="000000"/>
                <w:sz w:val="22"/>
                <w:szCs w:val="22"/>
              </w:rPr>
              <w:t>Enumeración de los roles de usuario: PERSONAL, ADMINISTRADOR.</w:t>
            </w:r>
          </w:p>
        </w:tc>
      </w:tr>
    </w:tbl>
    <w:p w14:paraId="7CC99409">
      <w:pPr>
        <w:pStyle w:val="Heading2"/>
      </w:pPr>
      <w:r>
        <w:rPr>
          <w:rFonts w:ascii="Arial" w:hAnsi="Arial" w:eastAsia="Arial" w:cs="Arial"/>
          <w:b/>
          <w:bCs/>
          <w:color w:val="000000"/>
          <w:sz w:val="24"/>
          <w:szCs w:val="24"/>
        </w:rPr>
        <w:t>7.3 Relaciones y multiplicidades</w:t>
      </w:r>
    </w:p>
    <w:tbl>
      <w:tblPr>
        <w:tblW w:w="9360" w:type="dxa"/>
        <w:tblBorders>
          <w:top w:val="single" w:sz="4" w:color="auto"/>
          <w:left w:val="single" w:sz="4" w:color="auto"/>
          <w:bottom w:val="single" w:sz="4" w:color="auto"/>
          <w:right w:val="single" w:sz="4" w:color="auto"/>
          <w:insideH w:val="single" w:sz="4" w:color="auto"/>
          <w:insideV w:val="single" w:sz="4" w:color="auto"/>
        </w:tblBorders>
      </w:tblPr>
      <w:tblGrid>
        <w:gridCol w:w="3000"/>
        <w:gridCol w:w="1700"/>
        <w:gridCol w:w="4660"/>
      </w:tblGrid>
      <w:tr>
        <w:trPr>
          <w:tblHeader/>
        </w:trPr>
        <w:tc>
          <w:tcPr>
            <w:tcW w:w="3000" w:type="dxa"/>
            <w:tcBorders>
              <w:top w:val="single" w:sz="4" w:color="000000"/>
              <w:left w:val="single" w:sz="4" w:color="000000"/>
              <w:bottom w:val="single" w:sz="4" w:color="000000"/>
              <w:right w:val="single" w:sz="4" w:color="000000"/>
            </w:tcBorders>
            <w:tcMar>
              <w:top w:w="60" w:type="dxa"/>
              <w:left w:w="100" w:type="dxa"/>
              <w:bottom w:w="60" w:type="dxa"/>
              <w:right w:w="100" w:type="dxa"/>
            </w:tcMar>
            <w:vAlign w:val="center"/>
          </w:tcPr>
          <w:p w14:paraId="34074937">
            <w:pPr>
              <w:spacing w:after="0" w:line="264"/>
            </w:pPr>
            <w:r>
              <w:rPr>
                <w:rFonts w:ascii="Arial" w:hAnsi="Arial" w:eastAsia="Arial" w:cs="Arial"/>
                <w:b/>
                <w:bCs/>
                <w:color w:val="000000"/>
                <w:sz w:val="22"/>
                <w:szCs w:val="22"/>
              </w:rPr>
              <w:t>Relación</w:t>
            </w:r>
          </w:p>
        </w:tc>
        <w:tc>
          <w:tcPr>
            <w:tcW w:w="1700" w:type="dxa"/>
            <w:tcBorders>
              <w:top w:val="single" w:sz="4" w:color="000000"/>
              <w:left w:val="single" w:sz="4" w:color="000000"/>
              <w:bottom w:val="single" w:sz="4" w:color="000000"/>
              <w:right w:val="single" w:sz="4" w:color="000000"/>
            </w:tcBorders>
            <w:tcMar>
              <w:top w:w="60" w:type="dxa"/>
              <w:left w:w="100" w:type="dxa"/>
              <w:bottom w:w="60" w:type="dxa"/>
              <w:right w:w="100" w:type="dxa"/>
            </w:tcMar>
            <w:vAlign w:val="center"/>
          </w:tcPr>
          <w:p w14:paraId="4E4E890C">
            <w:pPr>
              <w:spacing w:after="0" w:line="264"/>
            </w:pPr>
            <w:r>
              <w:rPr>
                <w:rFonts w:ascii="Arial" w:hAnsi="Arial" w:eastAsia="Arial" w:cs="Arial"/>
                <w:b/>
                <w:bCs/>
                <w:color w:val="000000"/>
                <w:sz w:val="22"/>
                <w:szCs w:val="22"/>
              </w:rPr>
              <w:t>Multiplicidad</w:t>
            </w:r>
          </w:p>
        </w:tc>
        <w:tc>
          <w:tcPr>
            <w:tcW w:w="4660" w:type="dxa"/>
            <w:tcBorders>
              <w:top w:val="single" w:sz="4" w:color="000000"/>
              <w:left w:val="single" w:sz="4" w:color="000000"/>
              <w:bottom w:val="single" w:sz="4" w:color="000000"/>
              <w:right w:val="single" w:sz="4" w:color="000000"/>
            </w:tcBorders>
            <w:tcMar>
              <w:top w:w="60" w:type="dxa"/>
              <w:left w:w="100" w:type="dxa"/>
              <w:bottom w:w="60" w:type="dxa"/>
              <w:right w:w="100" w:type="dxa"/>
            </w:tcMar>
            <w:vAlign w:val="center"/>
          </w:tcPr>
          <w:p w14:paraId="0DBC16EF">
            <w:pPr>
              <w:spacing w:after="0" w:line="264"/>
            </w:pPr>
            <w:r>
              <w:rPr>
                <w:rFonts w:ascii="Arial" w:hAnsi="Arial" w:eastAsia="Arial" w:cs="Arial"/>
                <w:b/>
                <w:bCs/>
                <w:color w:val="000000"/>
                <w:sz w:val="22"/>
                <w:szCs w:val="22"/>
              </w:rPr>
              <w:t>Significado</w:t>
            </w:r>
          </w:p>
        </w:tc>
      </w:tr>
      <w:tr>
        <w:trPr>
          <w:cantSplit/>
        </w:trPr>
        <w:tc>
          <w:tcPr>
            <w:tcW w:w="3000" w:type="dxa"/>
            <w:tcBorders>
              <w:top w:val="single" w:sz="4" w:color="000000"/>
              <w:left w:val="single" w:sz="4" w:color="000000"/>
              <w:bottom w:val="single" w:sz="4" w:color="000000"/>
              <w:right w:val="single" w:sz="4" w:color="000000"/>
            </w:tcBorders>
            <w:tcMar>
              <w:top w:w="60" w:type="dxa"/>
              <w:left w:w="100" w:type="dxa"/>
              <w:bottom w:w="60" w:type="dxa"/>
              <w:right w:w="100" w:type="dxa"/>
            </w:tcMar>
            <w:vAlign w:val="center"/>
          </w:tcPr>
          <w:p w14:paraId="665D814A">
            <w:pPr>
              <w:spacing w:after="0" w:line="264"/>
            </w:pPr>
            <w:r>
              <w:rPr>
                <w:rFonts w:ascii="Arial" w:hAnsi="Arial" w:eastAsia="Arial" w:cs="Arial"/>
                <w:color w:val="000000"/>
                <w:sz w:val="22"/>
                <w:szCs w:val="22"/>
              </w:rPr>
              <w:t>TipoVehiculo – Tarifa</w:t>
            </w:r>
          </w:p>
        </w:tc>
        <w:tc>
          <w:tcPr>
            <w:tcW w:w="1700" w:type="dxa"/>
            <w:tcBorders>
              <w:top w:val="single" w:sz="4" w:color="000000"/>
              <w:left w:val="single" w:sz="4" w:color="000000"/>
              <w:bottom w:val="single" w:sz="4" w:color="000000"/>
              <w:right w:val="single" w:sz="4" w:color="000000"/>
            </w:tcBorders>
            <w:tcMar>
              <w:top w:w="60" w:type="dxa"/>
              <w:left w:w="100" w:type="dxa"/>
              <w:bottom w:w="60" w:type="dxa"/>
              <w:right w:w="100" w:type="dxa"/>
            </w:tcMar>
            <w:vAlign w:val="center"/>
          </w:tcPr>
          <w:p w14:paraId="38C935A5">
            <w:pPr>
              <w:spacing w:after="0" w:line="264"/>
            </w:pPr>
            <w:r>
              <w:rPr>
                <w:rFonts w:ascii="Arial" w:hAnsi="Arial" w:eastAsia="Arial" w:cs="Arial"/>
                <w:color w:val="000000"/>
                <w:sz w:val="22"/>
                <w:szCs w:val="22"/>
              </w:rPr>
              <w:t>1 a 1..*</w:t>
            </w:r>
          </w:p>
        </w:tc>
        <w:tc>
          <w:tcPr>
            <w:tcW w:w="4660" w:type="dxa"/>
            <w:tcBorders>
              <w:top w:val="single" w:sz="4" w:color="000000"/>
              <w:left w:val="single" w:sz="4" w:color="000000"/>
              <w:bottom w:val="single" w:sz="4" w:color="000000"/>
              <w:right w:val="single" w:sz="4" w:color="000000"/>
            </w:tcBorders>
            <w:tcMar>
              <w:top w:w="60" w:type="dxa"/>
              <w:left w:w="100" w:type="dxa"/>
              <w:bottom w:w="60" w:type="dxa"/>
              <w:right w:w="100" w:type="dxa"/>
            </w:tcMar>
            <w:vAlign w:val="center"/>
          </w:tcPr>
          <w:p w14:paraId="22433FF9">
            <w:pPr>
              <w:spacing w:after="0" w:line="264"/>
            </w:pPr>
            <w:r>
              <w:rPr>
                <w:rFonts w:ascii="Arial" w:hAnsi="Arial" w:eastAsia="Arial" w:cs="Arial"/>
                <w:color w:val="000000"/>
                <w:sz w:val="22"/>
                <w:szCs w:val="22"/>
              </w:rPr>
              <w:t>Todo tipo tiene al menos una tarifa y conserva su historial (RN-04, RN-15).</w:t>
            </w:r>
          </w:p>
        </w:tc>
      </w:tr>
      <w:tr>
        <w:trPr>
          <w:cantSplit/>
        </w:trPr>
        <w:tc>
          <w:tcPr>
            <w:tcW w:w="3000" w:type="dxa"/>
            <w:tcBorders>
              <w:top w:val="single" w:sz="4" w:color="000000"/>
              <w:left w:val="single" w:sz="4" w:color="000000"/>
              <w:bottom w:val="single" w:sz="4" w:color="000000"/>
              <w:right w:val="single" w:sz="4" w:color="000000"/>
            </w:tcBorders>
            <w:tcMar>
              <w:top w:w="60" w:type="dxa"/>
              <w:left w:w="100" w:type="dxa"/>
              <w:bottom w:w="60" w:type="dxa"/>
              <w:right w:w="100" w:type="dxa"/>
            </w:tcMar>
            <w:vAlign w:val="center"/>
          </w:tcPr>
          <w:p w14:paraId="7C3CF7CC">
            <w:pPr>
              <w:spacing w:after="0" w:line="264"/>
            </w:pPr>
            <w:r>
              <w:rPr>
                <w:rFonts w:ascii="Arial" w:hAnsi="Arial" w:eastAsia="Arial" w:cs="Arial"/>
                <w:color w:val="000000"/>
                <w:sz w:val="22"/>
                <w:szCs w:val="22"/>
              </w:rPr>
              <w:t>Vehiculo – TipoVehiculo</w:t>
            </w:r>
          </w:p>
        </w:tc>
        <w:tc>
          <w:tcPr>
            <w:tcW w:w="1700" w:type="dxa"/>
            <w:tcBorders>
              <w:top w:val="single" w:sz="4" w:color="000000"/>
              <w:left w:val="single" w:sz="4" w:color="000000"/>
              <w:bottom w:val="single" w:sz="4" w:color="000000"/>
              <w:right w:val="single" w:sz="4" w:color="000000"/>
            </w:tcBorders>
            <w:tcMar>
              <w:top w:w="60" w:type="dxa"/>
              <w:left w:w="100" w:type="dxa"/>
              <w:bottom w:w="60" w:type="dxa"/>
              <w:right w:w="100" w:type="dxa"/>
            </w:tcMar>
            <w:vAlign w:val="center"/>
          </w:tcPr>
          <w:p w14:paraId="689A486C">
            <w:pPr>
              <w:spacing w:after="0" w:line="264"/>
            </w:pPr>
            <w:r>
              <w:rPr>
                <w:rFonts w:ascii="Arial" w:hAnsi="Arial" w:eastAsia="Arial" w:cs="Arial"/>
                <w:color w:val="000000"/>
                <w:sz w:val="22"/>
                <w:szCs w:val="22"/>
              </w:rPr>
              <w:t>0..* a 1</w:t>
            </w:r>
          </w:p>
        </w:tc>
        <w:tc>
          <w:tcPr>
            <w:tcW w:w="4660" w:type="dxa"/>
            <w:tcBorders>
              <w:top w:val="single" w:sz="4" w:color="000000"/>
              <w:left w:val="single" w:sz="4" w:color="000000"/>
              <w:bottom w:val="single" w:sz="4" w:color="000000"/>
              <w:right w:val="single" w:sz="4" w:color="000000"/>
            </w:tcBorders>
            <w:tcMar>
              <w:top w:w="60" w:type="dxa"/>
              <w:left w:w="100" w:type="dxa"/>
              <w:bottom w:w="60" w:type="dxa"/>
              <w:right w:w="100" w:type="dxa"/>
            </w:tcMar>
            <w:vAlign w:val="center"/>
          </w:tcPr>
          <w:p w14:paraId="0EB69934">
            <w:pPr>
              <w:spacing w:after="0" w:line="264"/>
            </w:pPr>
            <w:r>
              <w:rPr>
                <w:rFonts w:ascii="Arial" w:hAnsi="Arial" w:eastAsia="Arial" w:cs="Arial"/>
                <w:color w:val="000000"/>
                <w:sz w:val="22"/>
                <w:szCs w:val="22"/>
              </w:rPr>
              <w:t>Cada vehículo pertenece a un único tipo, registrado una sola vez (RN-05).</w:t>
            </w:r>
          </w:p>
        </w:tc>
      </w:tr>
      <w:tr>
        <w:trPr>
          <w:cantSplit/>
        </w:trPr>
        <w:tc>
          <w:tcPr>
            <w:tcW w:w="3000" w:type="dxa"/>
            <w:tcBorders>
              <w:top w:val="single" w:sz="4" w:color="000000"/>
              <w:left w:val="single" w:sz="4" w:color="000000"/>
              <w:bottom w:val="single" w:sz="4" w:color="000000"/>
              <w:right w:val="single" w:sz="4" w:color="000000"/>
            </w:tcBorders>
            <w:tcMar>
              <w:top w:w="60" w:type="dxa"/>
              <w:left w:w="100" w:type="dxa"/>
              <w:bottom w:w="60" w:type="dxa"/>
              <w:right w:w="100" w:type="dxa"/>
            </w:tcMar>
            <w:vAlign w:val="center"/>
          </w:tcPr>
          <w:p w14:paraId="078221C3">
            <w:pPr>
              <w:spacing w:after="0" w:line="264"/>
            </w:pPr>
            <w:r>
              <w:rPr>
                <w:rFonts w:ascii="Arial" w:hAnsi="Arial" w:eastAsia="Arial" w:cs="Arial"/>
                <w:color w:val="000000"/>
                <w:sz w:val="22"/>
                <w:szCs w:val="22"/>
              </w:rPr>
              <w:t>Vehiculo – Estadia</w:t>
            </w:r>
          </w:p>
        </w:tc>
        <w:tc>
          <w:tcPr>
            <w:tcW w:w="1700" w:type="dxa"/>
            <w:tcBorders>
              <w:top w:val="single" w:sz="4" w:color="000000"/>
              <w:left w:val="single" w:sz="4" w:color="000000"/>
              <w:bottom w:val="single" w:sz="4" w:color="000000"/>
              <w:right w:val="single" w:sz="4" w:color="000000"/>
            </w:tcBorders>
            <w:tcMar>
              <w:top w:w="60" w:type="dxa"/>
              <w:left w:w="100" w:type="dxa"/>
              <w:bottom w:w="60" w:type="dxa"/>
              <w:right w:w="100" w:type="dxa"/>
            </w:tcMar>
            <w:vAlign w:val="center"/>
          </w:tcPr>
          <w:p w14:paraId="12448C36">
            <w:pPr>
              <w:spacing w:after="0" w:line="264"/>
            </w:pPr>
            <w:r>
              <w:rPr>
                <w:rFonts w:ascii="Arial" w:hAnsi="Arial" w:eastAsia="Arial" w:cs="Arial"/>
                <w:color w:val="000000"/>
                <w:sz w:val="22"/>
                <w:szCs w:val="22"/>
              </w:rPr>
              <w:t>1 a 0..*</w:t>
            </w:r>
          </w:p>
        </w:tc>
        <w:tc>
          <w:tcPr>
            <w:tcW w:w="4660" w:type="dxa"/>
            <w:tcBorders>
              <w:top w:val="single" w:sz="4" w:color="000000"/>
              <w:left w:val="single" w:sz="4" w:color="000000"/>
              <w:bottom w:val="single" w:sz="4" w:color="000000"/>
              <w:right w:val="single" w:sz="4" w:color="000000"/>
            </w:tcBorders>
            <w:tcMar>
              <w:top w:w="60" w:type="dxa"/>
              <w:left w:w="100" w:type="dxa"/>
              <w:bottom w:w="60" w:type="dxa"/>
              <w:right w:w="100" w:type="dxa"/>
            </w:tcMar>
            <w:vAlign w:val="center"/>
          </w:tcPr>
          <w:p w14:paraId="7ADA21DD">
            <w:pPr>
              <w:spacing w:after="0" w:line="264"/>
            </w:pPr>
            <w:r>
              <w:rPr>
                <w:rFonts w:ascii="Arial" w:hAnsi="Arial" w:eastAsia="Arial" w:cs="Arial"/>
                <w:color w:val="000000"/>
                <w:sz w:val="22"/>
                <w:szCs w:val="22"/>
              </w:rPr>
              <w:t>Un vehículo acumula sus estadías a lo largo del tiempo.</w:t>
            </w:r>
          </w:p>
        </w:tc>
      </w:tr>
      <w:tr>
        <w:trPr>
          <w:cantSplit/>
        </w:trPr>
        <w:tc>
          <w:tcPr>
            <w:tcW w:w="3000" w:type="dxa"/>
            <w:tcBorders>
              <w:top w:val="single" w:sz="4" w:color="000000"/>
              <w:left w:val="single" w:sz="4" w:color="000000"/>
              <w:bottom w:val="single" w:sz="4" w:color="000000"/>
              <w:right w:val="single" w:sz="4" w:color="000000"/>
            </w:tcBorders>
            <w:tcMar>
              <w:top w:w="60" w:type="dxa"/>
              <w:left w:w="100" w:type="dxa"/>
              <w:bottom w:w="60" w:type="dxa"/>
              <w:right w:w="100" w:type="dxa"/>
            </w:tcMar>
            <w:vAlign w:val="center"/>
          </w:tcPr>
          <w:p w14:paraId="46B9055B">
            <w:pPr>
              <w:spacing w:after="0" w:line="264"/>
            </w:pPr>
            <w:r>
              <w:rPr>
                <w:rFonts w:ascii="Arial" w:hAnsi="Arial" w:eastAsia="Arial" w:cs="Arial"/>
                <w:color w:val="000000"/>
                <w:sz w:val="22"/>
                <w:szCs w:val="22"/>
              </w:rPr>
              <w:t>Estadia – Tarifa</w:t>
            </w:r>
          </w:p>
        </w:tc>
        <w:tc>
          <w:tcPr>
            <w:tcW w:w="1700" w:type="dxa"/>
            <w:tcBorders>
              <w:top w:val="single" w:sz="4" w:color="000000"/>
              <w:left w:val="single" w:sz="4" w:color="000000"/>
              <w:bottom w:val="single" w:sz="4" w:color="000000"/>
              <w:right w:val="single" w:sz="4" w:color="000000"/>
            </w:tcBorders>
            <w:tcMar>
              <w:top w:w="60" w:type="dxa"/>
              <w:left w:w="100" w:type="dxa"/>
              <w:bottom w:w="60" w:type="dxa"/>
              <w:right w:w="100" w:type="dxa"/>
            </w:tcMar>
            <w:vAlign w:val="center"/>
          </w:tcPr>
          <w:p w14:paraId="64B4E8B0">
            <w:pPr>
              <w:spacing w:after="0" w:line="264"/>
            </w:pPr>
            <w:r>
              <w:rPr>
                <w:rFonts w:ascii="Arial" w:hAnsi="Arial" w:eastAsia="Arial" w:cs="Arial"/>
                <w:color w:val="000000"/>
                <w:sz w:val="22"/>
                <w:szCs w:val="22"/>
              </w:rPr>
              <w:t>0..* a 1</w:t>
            </w:r>
          </w:p>
        </w:tc>
        <w:tc>
          <w:tcPr>
            <w:tcW w:w="4660" w:type="dxa"/>
            <w:tcBorders>
              <w:top w:val="single" w:sz="4" w:color="000000"/>
              <w:left w:val="single" w:sz="4" w:color="000000"/>
              <w:bottom w:val="single" w:sz="4" w:color="000000"/>
              <w:right w:val="single" w:sz="4" w:color="000000"/>
            </w:tcBorders>
            <w:tcMar>
              <w:top w:w="60" w:type="dxa"/>
              <w:left w:w="100" w:type="dxa"/>
              <w:bottom w:w="60" w:type="dxa"/>
              <w:right w:w="100" w:type="dxa"/>
            </w:tcMar>
            <w:vAlign w:val="center"/>
          </w:tcPr>
          <w:p w14:paraId="6D36739D">
            <w:pPr>
              <w:spacing w:after="0" w:line="264"/>
            </w:pPr>
            <w:r>
              <w:rPr>
                <w:rFonts w:ascii="Arial" w:hAnsi="Arial" w:eastAsia="Arial" w:cs="Arial"/>
                <w:color w:val="000000"/>
                <w:sz w:val="22"/>
                <w:szCs w:val="22"/>
              </w:rPr>
              <w:t>Cada estadía conserva la tarifa vigente a su ingreso (RN-01).</w:t>
            </w:r>
          </w:p>
        </w:tc>
      </w:tr>
      <w:tr>
        <w:trPr>
          <w:cantSplit/>
        </w:trPr>
        <w:tc>
          <w:tcPr>
            <w:tcW w:w="3000" w:type="dxa"/>
            <w:tcBorders>
              <w:top w:val="single" w:sz="4" w:color="000000"/>
              <w:left w:val="single" w:sz="4" w:color="000000"/>
              <w:bottom w:val="single" w:sz="4" w:color="000000"/>
              <w:right w:val="single" w:sz="4" w:color="000000"/>
            </w:tcBorders>
            <w:tcMar>
              <w:top w:w="60" w:type="dxa"/>
              <w:left w:w="100" w:type="dxa"/>
              <w:bottom w:w="60" w:type="dxa"/>
              <w:right w:w="100" w:type="dxa"/>
            </w:tcMar>
            <w:vAlign w:val="center"/>
          </w:tcPr>
          <w:p w14:paraId="4E04318E">
            <w:pPr>
              <w:spacing w:after="0" w:line="264"/>
            </w:pPr>
            <w:r>
              <w:rPr>
                <w:rFonts w:ascii="Arial" w:hAnsi="Arial" w:eastAsia="Arial" w:cs="Arial"/>
                <w:color w:val="000000"/>
                <w:sz w:val="22"/>
                <w:szCs w:val="22"/>
              </w:rPr>
              <w:t>Estadia – Pago (composición)</w:t>
            </w:r>
          </w:p>
        </w:tc>
        <w:tc>
          <w:tcPr>
            <w:tcW w:w="1700" w:type="dxa"/>
            <w:tcBorders>
              <w:top w:val="single" w:sz="4" w:color="000000"/>
              <w:left w:val="single" w:sz="4" w:color="000000"/>
              <w:bottom w:val="single" w:sz="4" w:color="000000"/>
              <w:right w:val="single" w:sz="4" w:color="000000"/>
            </w:tcBorders>
            <w:tcMar>
              <w:top w:w="60" w:type="dxa"/>
              <w:left w:w="100" w:type="dxa"/>
              <w:bottom w:w="60" w:type="dxa"/>
              <w:right w:w="100" w:type="dxa"/>
            </w:tcMar>
            <w:vAlign w:val="center"/>
          </w:tcPr>
          <w:p w14:paraId="07321247">
            <w:pPr>
              <w:spacing w:after="0" w:line="264"/>
            </w:pPr>
            <w:r>
              <w:rPr>
                <w:rFonts w:ascii="Arial" w:hAnsi="Arial" w:eastAsia="Arial" w:cs="Arial"/>
                <w:color w:val="000000"/>
                <w:sz w:val="22"/>
                <w:szCs w:val="22"/>
              </w:rPr>
              <w:t>1 a 0..1</w:t>
            </w:r>
          </w:p>
        </w:tc>
        <w:tc>
          <w:tcPr>
            <w:tcW w:w="4660" w:type="dxa"/>
            <w:tcBorders>
              <w:top w:val="single" w:sz="4" w:color="000000"/>
              <w:left w:val="single" w:sz="4" w:color="000000"/>
              <w:bottom w:val="single" w:sz="4" w:color="000000"/>
              <w:right w:val="single" w:sz="4" w:color="000000"/>
            </w:tcBorders>
            <w:tcMar>
              <w:top w:w="60" w:type="dxa"/>
              <w:left w:w="100" w:type="dxa"/>
              <w:bottom w:w="60" w:type="dxa"/>
              <w:right w:w="100" w:type="dxa"/>
            </w:tcMar>
            <w:vAlign w:val="center"/>
          </w:tcPr>
          <w:p w14:paraId="2F8B1DCD">
            <w:pPr>
              <w:spacing w:after="0" w:line="264"/>
            </w:pPr>
            <w:r>
              <w:rPr>
                <w:rFonts w:ascii="Arial" w:hAnsi="Arial" w:eastAsia="Arial" w:cs="Arial"/>
                <w:color w:val="000000"/>
                <w:sz w:val="22"/>
                <w:szCs w:val="22"/>
              </w:rPr>
              <w:t>Como máximo un pago por estadía; el pago no existe sin su estadía (RN-11).</w:t>
            </w:r>
          </w:p>
        </w:tc>
      </w:tr>
      <w:tr>
        <w:trPr>
          <w:cantSplit/>
        </w:trPr>
        <w:tc>
          <w:tcPr>
            <w:tcW w:w="3000" w:type="dxa"/>
            <w:tcBorders>
              <w:top w:val="single" w:sz="4" w:color="000000"/>
              <w:left w:val="single" w:sz="4" w:color="000000"/>
              <w:bottom w:val="single" w:sz="4" w:color="000000"/>
              <w:right w:val="single" w:sz="4" w:color="000000"/>
            </w:tcBorders>
            <w:tcMar>
              <w:top w:w="60" w:type="dxa"/>
              <w:left w:w="100" w:type="dxa"/>
              <w:bottom w:w="60" w:type="dxa"/>
              <w:right w:w="100" w:type="dxa"/>
            </w:tcMar>
            <w:vAlign w:val="center"/>
          </w:tcPr>
          <w:p w14:paraId="7E6217AC">
            <w:pPr>
              <w:spacing w:after="0" w:line="264"/>
            </w:pPr>
            <w:r>
              <w:rPr>
                <w:rFonts w:ascii="Arial" w:hAnsi="Arial" w:eastAsia="Arial" w:cs="Arial"/>
                <w:color w:val="000000"/>
                <w:sz w:val="22"/>
                <w:szCs w:val="22"/>
              </w:rPr>
              <w:t>Pago – Usuario</w:t>
            </w:r>
          </w:p>
        </w:tc>
        <w:tc>
          <w:tcPr>
            <w:tcW w:w="1700" w:type="dxa"/>
            <w:tcBorders>
              <w:top w:val="single" w:sz="4" w:color="000000"/>
              <w:left w:val="single" w:sz="4" w:color="000000"/>
              <w:bottom w:val="single" w:sz="4" w:color="000000"/>
              <w:right w:val="single" w:sz="4" w:color="000000"/>
            </w:tcBorders>
            <w:tcMar>
              <w:top w:w="60" w:type="dxa"/>
              <w:left w:w="100" w:type="dxa"/>
              <w:bottom w:w="60" w:type="dxa"/>
              <w:right w:w="100" w:type="dxa"/>
            </w:tcMar>
            <w:vAlign w:val="center"/>
          </w:tcPr>
          <w:p w14:paraId="61E0B45F">
            <w:pPr>
              <w:spacing w:after="0" w:line="264"/>
            </w:pPr>
            <w:r>
              <w:rPr>
                <w:rFonts w:ascii="Arial" w:hAnsi="Arial" w:eastAsia="Arial" w:cs="Arial"/>
                <w:color w:val="000000"/>
                <w:sz w:val="22"/>
                <w:szCs w:val="22"/>
              </w:rPr>
              <w:t>0..* a 0..1</w:t>
            </w:r>
          </w:p>
        </w:tc>
        <w:tc>
          <w:tcPr>
            <w:tcW w:w="4660" w:type="dxa"/>
            <w:tcBorders>
              <w:top w:val="single" w:sz="4" w:color="000000"/>
              <w:left w:val="single" w:sz="4" w:color="000000"/>
              <w:bottom w:val="single" w:sz="4" w:color="000000"/>
              <w:right w:val="single" w:sz="4" w:color="000000"/>
            </w:tcBorders>
            <w:tcMar>
              <w:top w:w="60" w:type="dxa"/>
              <w:left w:w="100" w:type="dxa"/>
              <w:bottom w:w="60" w:type="dxa"/>
              <w:right w:w="100" w:type="dxa"/>
            </w:tcMar>
            <w:vAlign w:val="center"/>
          </w:tcPr>
          <w:p w14:paraId="089EE52E">
            <w:pPr>
              <w:spacing w:after="0" w:line="264"/>
            </w:pPr>
            <w:r>
              <w:rPr>
                <w:rFonts w:ascii="Arial" w:hAnsi="Arial" w:eastAsia="Arial" w:cs="Arial"/>
                <w:color w:val="000000"/>
                <w:sz w:val="22"/>
                <w:szCs w:val="22"/>
              </w:rPr>
              <w:t>El pago en caja registra al empleado que lo recibió; el pago en línea no tiene empleado (RN-18).</w:t>
            </w:r>
          </w:p>
        </w:tc>
      </w:tr>
      <w:tr>
        <w:trPr>
          <w:cantSplit/>
        </w:trPr>
        <w:tc>
          <w:tcPr>
            <w:tcW w:w="3000" w:type="dxa"/>
            <w:tcBorders>
              <w:top w:val="single" w:sz="4" w:color="000000"/>
              <w:left w:val="single" w:sz="4" w:color="000000"/>
              <w:bottom w:val="single" w:sz="4" w:color="000000"/>
              <w:right w:val="single" w:sz="4" w:color="000000"/>
            </w:tcBorders>
            <w:tcMar>
              <w:top w:w="60" w:type="dxa"/>
              <w:left w:w="100" w:type="dxa"/>
              <w:bottom w:w="60" w:type="dxa"/>
              <w:right w:w="100" w:type="dxa"/>
            </w:tcMar>
            <w:vAlign w:val="center"/>
          </w:tcPr>
          <w:p w14:paraId="4D6FDA47">
            <w:pPr>
              <w:spacing w:after="0" w:line="264"/>
            </w:pPr>
            <w:r>
              <w:rPr>
                <w:rFonts w:ascii="Arial" w:hAnsi="Arial" w:eastAsia="Arial" w:cs="Arial"/>
                <w:color w:val="000000"/>
                <w:sz w:val="22"/>
                <w:szCs w:val="22"/>
              </w:rPr>
              <w:t>Estadia – PoliticaCobro</w:t>
            </w:r>
          </w:p>
        </w:tc>
        <w:tc>
          <w:tcPr>
            <w:tcW w:w="1700" w:type="dxa"/>
            <w:tcBorders>
              <w:top w:val="single" w:sz="4" w:color="000000"/>
              <w:left w:val="single" w:sz="4" w:color="000000"/>
              <w:bottom w:val="single" w:sz="4" w:color="000000"/>
              <w:right w:val="single" w:sz="4" w:color="000000"/>
            </w:tcBorders>
            <w:tcMar>
              <w:top w:w="60" w:type="dxa"/>
              <w:left w:w="100" w:type="dxa"/>
              <w:bottom w:w="60" w:type="dxa"/>
              <w:right w:w="100" w:type="dxa"/>
            </w:tcMar>
            <w:vAlign w:val="center"/>
          </w:tcPr>
          <w:p w14:paraId="5E98F336">
            <w:pPr>
              <w:spacing w:after="0" w:line="264"/>
            </w:pPr>
            <w:r>
              <w:rPr>
                <w:rFonts w:ascii="Arial" w:hAnsi="Arial" w:eastAsia="Arial" w:cs="Arial"/>
                <w:color w:val="000000"/>
                <w:sz w:val="22"/>
                <w:szCs w:val="22"/>
              </w:rPr>
              <w:t>Dependencia</w:t>
            </w:r>
          </w:p>
        </w:tc>
        <w:tc>
          <w:tcPr>
            <w:tcW w:w="4660" w:type="dxa"/>
            <w:tcBorders>
              <w:top w:val="single" w:sz="4" w:color="000000"/>
              <w:left w:val="single" w:sz="4" w:color="000000"/>
              <w:bottom w:val="single" w:sz="4" w:color="000000"/>
              <w:right w:val="single" w:sz="4" w:color="000000"/>
            </w:tcBorders>
            <w:tcMar>
              <w:top w:w="60" w:type="dxa"/>
              <w:left w:w="100" w:type="dxa"/>
              <w:bottom w:w="60" w:type="dxa"/>
              <w:right w:w="100" w:type="dxa"/>
            </w:tcMar>
            <w:vAlign w:val="center"/>
          </w:tcPr>
          <w:p w14:paraId="3123CB45">
            <w:pPr>
              <w:spacing w:after="0" w:line="264"/>
            </w:pPr>
            <w:r>
              <w:rPr>
                <w:rFonts w:ascii="Arial" w:hAnsi="Arial" w:eastAsia="Arial" w:cs="Arial"/>
                <w:color w:val="000000"/>
                <w:sz w:val="22"/>
                <w:szCs w:val="22"/>
              </w:rPr>
              <w:t>La estadía usa la política para calcular su valor.</w:t>
            </w:r>
          </w:p>
        </w:tc>
      </w:tr>
      <w:tr>
        <w:trPr>
          <w:cantSplit/>
        </w:trPr>
        <w:tc>
          <w:tcPr>
            <w:tcW w:w="3000" w:type="dxa"/>
            <w:tcBorders>
              <w:top w:val="single" w:sz="4" w:color="000000"/>
              <w:left w:val="single" w:sz="4" w:color="000000"/>
              <w:bottom w:val="single" w:sz="4" w:color="000000"/>
              <w:right w:val="single" w:sz="4" w:color="000000"/>
            </w:tcBorders>
            <w:tcMar>
              <w:top w:w="60" w:type="dxa"/>
              <w:left w:w="100" w:type="dxa"/>
              <w:bottom w:w="60" w:type="dxa"/>
              <w:right w:w="100" w:type="dxa"/>
            </w:tcMar>
            <w:vAlign w:val="center"/>
          </w:tcPr>
          <w:p w14:paraId="6A273B0A">
            <w:pPr>
              <w:spacing w:after="0" w:line="264"/>
            </w:pPr>
            <w:r>
              <w:rPr>
                <w:rFonts w:ascii="Arial" w:hAnsi="Arial" w:eastAsia="Arial" w:cs="Arial"/>
                <w:color w:val="000000"/>
                <w:sz w:val="22"/>
                <w:szCs w:val="22"/>
              </w:rPr>
              <w:t>CobroPorHoraIniciada – PoliticaCobro</w:t>
            </w:r>
          </w:p>
        </w:tc>
        <w:tc>
          <w:tcPr>
            <w:tcW w:w="1700" w:type="dxa"/>
            <w:tcBorders>
              <w:top w:val="single" w:sz="4" w:color="000000"/>
              <w:left w:val="single" w:sz="4" w:color="000000"/>
              <w:bottom w:val="single" w:sz="4" w:color="000000"/>
              <w:right w:val="single" w:sz="4" w:color="000000"/>
            </w:tcBorders>
            <w:tcMar>
              <w:top w:w="60" w:type="dxa"/>
              <w:left w:w="100" w:type="dxa"/>
              <w:bottom w:w="60" w:type="dxa"/>
              <w:right w:w="100" w:type="dxa"/>
            </w:tcMar>
            <w:vAlign w:val="center"/>
          </w:tcPr>
          <w:p w14:paraId="712E5053">
            <w:pPr>
              <w:spacing w:after="0" w:line="264"/>
            </w:pPr>
            <w:r>
              <w:rPr>
                <w:rFonts w:ascii="Arial" w:hAnsi="Arial" w:eastAsia="Arial" w:cs="Arial"/>
                <w:color w:val="000000"/>
                <w:sz w:val="22"/>
                <w:szCs w:val="22"/>
              </w:rPr>
              <w:t>Realización</w:t>
            </w:r>
          </w:p>
        </w:tc>
        <w:tc>
          <w:tcPr>
            <w:tcW w:w="4660" w:type="dxa"/>
            <w:tcBorders>
              <w:top w:val="single" w:sz="4" w:color="000000"/>
              <w:left w:val="single" w:sz="4" w:color="000000"/>
              <w:bottom w:val="single" w:sz="4" w:color="000000"/>
              <w:right w:val="single" w:sz="4" w:color="000000"/>
            </w:tcBorders>
            <w:tcMar>
              <w:top w:w="60" w:type="dxa"/>
              <w:left w:w="100" w:type="dxa"/>
              <w:bottom w:w="60" w:type="dxa"/>
              <w:right w:w="100" w:type="dxa"/>
            </w:tcMar>
            <w:vAlign w:val="center"/>
          </w:tcPr>
          <w:p w14:paraId="1AE12403">
            <w:pPr>
              <w:spacing w:after="0" w:line="264"/>
            </w:pPr>
            <w:r>
              <w:rPr>
                <w:rFonts w:ascii="Arial" w:hAnsi="Arial" w:eastAsia="Arial" w:cs="Arial"/>
                <w:color w:val="000000"/>
                <w:sz w:val="22"/>
                <w:szCs w:val="22"/>
              </w:rPr>
              <w:t>Implementación concreta de la política de cobro.</w:t>
            </w:r>
          </w:p>
        </w:tc>
      </w:tr>
    </w:tbl>
    <w:p w14:paraId="002E07D7">
      <w:pPr>
        <w:pStyle w:val="Heading2"/>
      </w:pPr>
      <w:r>
        <w:rPr>
          <w:rFonts w:ascii="Arial" w:hAnsi="Arial" w:eastAsia="Arial" w:cs="Arial"/>
          <w:b/>
          <w:bCs/>
          <w:color w:val="000000"/>
          <w:sz w:val="24"/>
          <w:szCs w:val="24"/>
        </w:rPr>
        <w:t>7.4 Decisiones de diseño</w:t>
      </w:r>
    </w:p>
    <w:p w14:paraId="1D23060F">
      <w:pPr>
        <w:pStyle w:val="Heading3"/>
      </w:pPr>
      <w:r>
        <w:rPr>
          <w:rFonts w:ascii="Arial" w:hAnsi="Arial" w:eastAsia="Arial" w:cs="Arial"/>
          <w:b/>
          <w:bCs/>
          <w:color w:val="000000"/>
          <w:sz w:val="22"/>
          <w:szCs w:val="22"/>
        </w:rPr>
        <w:t>Lo que varía en valor es dato; lo que varía en comportamiento es código</w:t>
      </w:r>
    </w:p>
    <w:p w14:paraId="0528D730">
      <w:pPr>
        <w:spacing w:after="120" w:line="276"/>
        <w:jc w:val="both"/>
      </w:pPr>
      <w:r>
        <w:rPr>
          <w:rFonts w:ascii="Arial" w:hAnsi="Arial" w:eastAsia="Arial" w:cs="Arial"/>
          <w:color w:val="000000"/>
          <w:sz w:val="22"/>
          <w:szCs w:val="22"/>
        </w:rPr>
        <w:t>Motocicleta, automóvil y una futura camioneta no se comportan de forma distinta: todas ingresan, permanecen y salen igual. Solo difieren en un nombre y un precio, por lo que se modelan como datos. En cambio, la forma de convertir tiempo en dinero sí es comportamiento, y se modela como código detrás de una interfaz.</w:t>
      </w:r>
    </w:p>
    <w:p w14:paraId="7A99B9C4">
      <w:pPr>
        <w:pStyle w:val="Heading3"/>
      </w:pPr>
      <w:r>
        <w:rPr>
          <w:rFonts w:ascii="Arial" w:hAnsi="Arial" w:eastAsia="Arial" w:cs="Arial"/>
          <w:b/>
          <w:bCs/>
          <w:color w:val="000000"/>
          <w:sz w:val="22"/>
          <w:szCs w:val="22"/>
        </w:rPr>
        <w:t>Alternativas descartadas</w:t>
      </w:r>
    </w:p>
    <w:p w14:paraId="5DA4D643">
      <w:pPr>
        <w:pStyle w:val="ListParagraph"/>
        <w:numPr>
          <w:ilvl w:val="0"/>
          <w:numId w:val="2"/>
        </w:numPr>
        <w:spacing w:after="80" w:line="276"/>
        <w:ind w:left="720" w:hanging="360"/>
        <w:jc w:val="both"/>
      </w:pPr>
      <w:r>
        <w:rPr>
          <w:rFonts w:ascii="Arial" w:hAnsi="Arial" w:eastAsia="Arial" w:cs="Arial"/>
          <w:b/>
          <w:bCs/>
          <w:color w:val="000000"/>
          <w:sz w:val="22"/>
          <w:szCs w:val="22"/>
        </w:rPr>
        <w:t xml:space="preserve">Enumeración con precio (por ejemplo, MOTO(800)). </w:t>
      </w:r>
      <w:r>
        <w:rPr>
          <w:rFonts w:ascii="Arial" w:hAnsi="Arial" w:eastAsia="Arial" w:cs="Arial"/>
          <w:color w:val="000000"/>
          <w:sz w:val="22"/>
          <w:szCs w:val="22"/>
        </w:rPr>
        <w:t>Agregar un tipo o cambiar un precio exigiría modificar, recompilar y desplegar el software, lo que contradice el requisito principal.</w:t>
      </w:r>
    </w:p>
    <w:p w14:paraId="18A1E77F">
      <w:pPr>
        <w:pStyle w:val="ListParagraph"/>
        <w:numPr>
          <w:ilvl w:val="0"/>
          <w:numId w:val="2"/>
        </w:numPr>
        <w:spacing w:after="80" w:line="276"/>
        <w:ind w:left="720" w:hanging="360"/>
        <w:jc w:val="both"/>
      </w:pPr>
      <w:r>
        <w:rPr>
          <w:rFonts w:ascii="Arial" w:hAnsi="Arial" w:eastAsia="Arial" w:cs="Arial"/>
          <w:b/>
          <w:bCs/>
          <w:color w:val="000000"/>
          <w:sz w:val="22"/>
          <w:szCs w:val="22"/>
        </w:rPr>
        <w:t xml:space="preserve">Herencia (Moto y Automovil como subclases de Vehiculo). </w:t>
      </w:r>
      <w:r>
        <w:rPr>
          <w:rFonts w:ascii="Arial" w:hAnsi="Arial" w:eastAsia="Arial" w:cs="Arial"/>
          <w:color w:val="000000"/>
          <w:sz w:val="22"/>
          <w:szCs w:val="22"/>
        </w:rPr>
        <w:t>Usa polimorfismo para algo que no es comportamiento sino un valor, y exige una clase nueva por cada tipo de vehículo.</w:t>
      </w:r>
    </w:p>
    <w:p w14:paraId="1B093CBB">
      <w:pPr>
        <w:pStyle w:val="ListParagraph"/>
        <w:numPr>
          <w:ilvl w:val="0"/>
          <w:numId w:val="2"/>
        </w:numPr>
        <w:spacing w:after="80" w:line="276"/>
        <w:ind w:left="720" w:hanging="360"/>
        <w:jc w:val="both"/>
      </w:pPr>
      <w:r>
        <w:rPr>
          <w:rFonts w:ascii="Arial" w:hAnsi="Arial" w:eastAsia="Arial" w:cs="Arial"/>
          <w:b/>
          <w:bCs/>
          <w:color w:val="000000"/>
          <w:sz w:val="22"/>
          <w:szCs w:val="22"/>
        </w:rPr>
        <w:t xml:space="preserve">Precio como atributo de TipoVehiculo. </w:t>
      </w:r>
      <w:r>
        <w:rPr>
          <w:rFonts w:ascii="Arial" w:hAnsi="Arial" w:eastAsia="Arial" w:cs="Arial"/>
          <w:color w:val="000000"/>
          <w:sz w:val="22"/>
          <w:szCs w:val="22"/>
        </w:rPr>
        <w:t>Evita modificar código, pero al actualizar el precio se pierde el anterior y ya no es posible justificar cobros pasados.</w:t>
      </w:r>
    </w:p>
    <w:p w14:paraId="4B4EAD91">
      <w:pPr>
        <w:pStyle w:val="Heading3"/>
      </w:pPr>
      <w:r>
        <w:rPr>
          <w:rFonts w:ascii="Arial" w:hAnsi="Arial" w:eastAsia="Arial" w:cs="Arial"/>
          <w:b/>
          <w:bCs/>
          <w:color w:val="000000"/>
          <w:sz w:val="22"/>
          <w:szCs w:val="22"/>
        </w:rPr>
        <w:t>Tarifa con vigencia</w:t>
      </w:r>
    </w:p>
    <w:p w14:paraId="5DB0B31B">
      <w:pPr>
        <w:spacing w:after="120" w:line="276"/>
        <w:jc w:val="both"/>
      </w:pPr>
      <w:r>
        <w:rPr>
          <w:rFonts w:ascii="Arial" w:hAnsi="Arial" w:eastAsia="Arial" w:cs="Arial"/>
          <w:color w:val="000000"/>
          <w:sz w:val="22"/>
          <w:szCs w:val="22"/>
        </w:rPr>
        <w:t>Cada cambio de tarifa crea un nuevo registro y cierra el anterior. El historial queda completo y cada estadía conserva la tarifa con la que ingresó, de modo que cualquier cobro pasado puede reconstruirse y justificarse.</w:t>
      </w:r>
    </w:p>
    <w:p w14:paraId="5D5D8696">
      <w:pPr>
        <w:pStyle w:val="Heading3"/>
      </w:pPr>
      <w:r>
        <w:rPr>
          <w:rFonts w:ascii="Arial" w:hAnsi="Arial" w:eastAsia="Arial" w:cs="Arial"/>
          <w:b/>
          <w:bCs/>
          <w:color w:val="000000"/>
          <w:sz w:val="22"/>
          <w:szCs w:val="22"/>
        </w:rPr>
        <w:t>Enumeraciones frente a clases</w:t>
      </w:r>
    </w:p>
    <w:p w14:paraId="0AA4E714">
      <w:pPr>
        <w:spacing w:after="120" w:line="276"/>
        <w:jc w:val="both"/>
      </w:pPr>
      <w:r>
        <w:rPr>
          <w:rFonts w:ascii="Arial" w:hAnsi="Arial" w:eastAsia="Arial" w:cs="Arial"/>
          <w:color w:val="000000"/>
          <w:sz w:val="22"/>
          <w:szCs w:val="22"/>
        </w:rPr>
        <w:t>EstadoEstadia, CanalPago y Rol son enumeraciones porque forman parte de las reglas del sistema: la aparición de un valor nuevo implica cambiar la lógica. TipoVehiculo, en cambio, es una clase porque es un catálogo que el Administrador amplía sin modificar el software (RN-03). Personal y Administrador no se modelan como subclases de Usuario porque no se diferencian en datos, sino en permisos; la generalización se expresa en el modelo de casos de uso.</w:t>
      </w:r>
    </w:p>
    <w:p w14:paraId="6536A864">
      <w:pPr>
        <w:pStyle w:val="Heading3"/>
      </w:pPr>
      <w:r>
        <w:rPr>
          <w:rFonts w:ascii="Arial" w:hAnsi="Arial" w:eastAsia="Arial" w:cs="Arial"/>
          <w:b/>
          <w:bCs/>
          <w:color w:val="000000"/>
          <w:sz w:val="22"/>
          <w:szCs w:val="22"/>
        </w:rPr>
        <w:t>Modelo de dominio rico</w:t>
      </w:r>
    </w:p>
    <w:p w14:paraId="661E1512">
      <w:pPr>
        <w:spacing w:after="120" w:line="276"/>
        <w:jc w:val="both"/>
      </w:pPr>
      <w:r>
        <w:rPr>
          <w:rFonts w:ascii="Arial" w:hAnsi="Arial" w:eastAsia="Arial" w:cs="Arial"/>
          <w:color w:val="000000"/>
          <w:sz w:val="22"/>
          <w:szCs w:val="22"/>
        </w:rPr>
        <w:t>Las entidades protegen sus propias reglas en lugar de ser contenedores de datos. La estadía calcula su valor con la política de cobro en lugar de recibirlo desde fuera, de modo que nadie puede asignarle un valor arbitrario. El pago lo crea la propia estadía, por lo que su valor siempre coincide con el liquidado y no puede existir más de uno. La creación mediante iniciar garantiza que nunca exista una estadía con una tarifa que no corresponda al tipo del vehículo.</w:t>
      </w:r>
    </w:p>
    <w:p w14:paraId="117BAF24">
      <w:pPr>
        <w:spacing w:after="120" w:line="276"/>
        <w:jc w:val="both"/>
      </w:pPr>
      <w:r>
        <w:rPr>
          <w:rFonts w:ascii="Arial" w:hAnsi="Arial" w:eastAsia="Arial" w:cs="Arial"/>
          <w:color w:val="000000"/>
          <w:sz w:val="22"/>
          <w:szCs w:val="22"/>
        </w:rPr>
        <w:t>No todas las reglas pueden residir en la entidad. RN-08 (que el vehículo no tenga otra estadía activa) requiere consultar la base de datos, por lo que se valida en la capa de negocio.</w:t>
      </w:r>
    </w:p>
    <w:p w14:paraId="576BAA3F">
      <w:pPr>
        <w:pStyle w:val="Heading3"/>
      </w:pPr>
      <w:r>
        <w:rPr>
          <w:rFonts w:ascii="Arial" w:hAnsi="Arial" w:eastAsia="Arial" w:cs="Arial"/>
          <w:b/>
          <w:bCs/>
          <w:color w:val="000000"/>
          <w:sz w:val="22"/>
          <w:szCs w:val="22"/>
        </w:rPr>
        <w:t>Patrón Strategy para el cálculo del cobro</w:t>
      </w:r>
    </w:p>
    <w:p w14:paraId="7FBED572">
      <w:pPr>
        <w:spacing w:after="120" w:line="276"/>
        <w:jc w:val="both"/>
      </w:pPr>
      <w:r>
        <w:rPr>
          <w:rFonts w:ascii="Arial" w:hAnsi="Arial" w:eastAsia="Arial" w:cs="Arial"/>
          <w:color w:val="000000"/>
          <w:sz w:val="22"/>
          <w:szCs w:val="22"/>
        </w:rPr>
        <w:t>La política de cobro se define como una interfaz con una implementación. Si en el futuro se exigiera, por ejemplo, el cobro por minuto, bastaría con crear otra implementación y seleccionarla al ensamblar la aplicación, sin modificar las entidades ni los servicios (principio abierto/cerrado).</w:t>
      </w:r>
    </w:p>
    <w:p w14:paraId="7A10F8A4">
      <w:pPr>
        <w:pStyle w:val="Heading1"/>
      </w:pPr>
      <w:r>
        <w:rPr>
          <w:rFonts w:ascii="Arial" w:hAnsi="Arial" w:eastAsia="Arial" w:cs="Arial"/>
          <w:b/>
          <w:bCs/>
          <w:color w:val="000000"/>
          <w:sz w:val="28"/>
          <w:szCs w:val="28"/>
        </w:rPr>
        <w:t>8. Diseño arquitectónico – Arquitectura por capas</w:t>
      </w:r>
    </w:p>
    <w:p w14:paraId="1C255732">
      <w:pPr>
        <w:spacing w:after="120" w:line="276"/>
        <w:jc w:val="both"/>
      </w:pPr>
      <w:r>
        <w:rPr>
          <w:rFonts w:ascii="Arial" w:hAnsi="Arial" w:eastAsia="Arial" w:cs="Arial"/>
          <w:color w:val="000000"/>
          <w:sz w:val="22"/>
          <w:szCs w:val="22"/>
        </w:rPr>
        <w:t>La solución se organiza en una arquitectura por capas estricta: cada capa depende únicamente de la capa inmediatamente inferior. El dominio y el paquete común son transversales, y el paquete de configuración ensambla la aplicación.</w:t>
      </w:r>
    </w:p>
    <w:p w14:paraId="5C10FF73">
      <w:pPr>
        <w:pStyle w:val="Heading2"/>
      </w:pPr>
      <w:r>
        <w:rPr>
          <w:rFonts w:ascii="Arial" w:hAnsi="Arial" w:eastAsia="Arial" w:cs="Arial"/>
          <w:b/>
          <w:bCs/>
          <w:color w:val="000000"/>
          <w:sz w:val="24"/>
          <w:szCs w:val="24"/>
        </w:rPr>
        <w:t>8.1 Diagrama de paquetes</w:t>
      </w:r>
    </w:p>
    <w:p w14:paraId="281B5ED0">
      <w:pPr>
        <w:keepNext/>
        <w:spacing w:before="120" w:after="60"/>
        <w:jc w:val="center"/>
      </w:pPr>
      <w:r>
        <w:drawing>
          <wp:inline distT="0" distB="0" distL="0" distR="0">
            <wp:extent cx="5334000" cy="6829425"/>
            <wp:effectExtent l="0" t="0" r="0" b="0"/>
            <wp:docPr id="100003" name="Figura 4. Diagrama de paquetes" descr="Figura 4. Diagrama de paquet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3" name="image100003" descr="Figura 4. Diagrama de paquetes"/>
                    <pic:cNvPicPr/>
                  </pic:nvPicPr>
                  <pic:blipFill>
                    <a:blip r:embed="rId18"/>
                    <a:stretch>
                      <a:fillRect/>
                    </a:stretch>
                  </pic:blipFill>
                  <pic:spPr>
                    <a:xfrm>
                      <a:off x="0" y="0"/>
                      <a:ext cx="5334000" cy="6829425"/>
                    </a:xfrm>
                    <a:prstGeom prst="rect">
                      <a:avLst/>
                    </a:prstGeom>
                  </pic:spPr>
                </pic:pic>
              </a:graphicData>
            </a:graphic>
          </wp:inline>
        </w:drawing>
      </w:r>
    </w:p>
    <w:p w14:paraId="0585AFE3">
      <w:pPr>
        <w:spacing w:after="200"/>
        <w:jc w:val="center"/>
      </w:pPr>
      <w:r>
        <w:rPr>
          <w:rFonts w:ascii="Arial" w:hAnsi="Arial" w:eastAsia="Arial" w:cs="Arial"/>
          <w:b/>
          <w:bCs/>
          <w:color w:val="000000"/>
          <w:sz w:val="20"/>
          <w:szCs w:val="20"/>
        </w:rPr>
        <w:t>Figura 4. Diagrama de paquetes</w:t>
      </w:r>
    </w:p>
    <w:p w14:paraId="6E6C4F87">
      <w:pPr>
        <w:pStyle w:val="Heading2"/>
      </w:pPr>
      <w:r>
        <w:rPr>
          <w:rFonts w:ascii="Arial" w:hAnsi="Arial" w:eastAsia="Arial" w:cs="Arial"/>
          <w:b/>
          <w:bCs/>
          <w:color w:val="000000"/>
          <w:sz w:val="24"/>
          <w:szCs w:val="24"/>
        </w:rPr>
        <w:t>8.2 Descripción de las capas</w:t>
      </w:r>
    </w:p>
    <w:tbl>
      <w:tblPr>
        <w:tblW w:w="9360" w:type="dxa"/>
        <w:tblBorders>
          <w:top w:val="single" w:sz="4" w:color="auto"/>
          <w:left w:val="single" w:sz="4" w:color="auto"/>
          <w:bottom w:val="single" w:sz="4" w:color="auto"/>
          <w:right w:val="single" w:sz="4" w:color="auto"/>
          <w:insideH w:val="single" w:sz="4" w:color="auto"/>
          <w:insideV w:val="single" w:sz="4" w:color="auto"/>
        </w:tblBorders>
      </w:tblPr>
      <w:tblGrid>
        <w:gridCol w:w="2000"/>
        <w:gridCol w:w="2400"/>
        <w:gridCol w:w="4960"/>
      </w:tblGrid>
      <w:tr>
        <w:trPr>
          <w:tblHeader/>
        </w:trPr>
        <w:tc>
          <w:tcPr>
            <w:tcW w:w="2000" w:type="dxa"/>
            <w:tcBorders>
              <w:top w:val="single" w:sz="4" w:color="000000"/>
              <w:left w:val="single" w:sz="4" w:color="000000"/>
              <w:bottom w:val="single" w:sz="4" w:color="000000"/>
              <w:right w:val="single" w:sz="4" w:color="000000"/>
            </w:tcBorders>
            <w:tcMar>
              <w:top w:w="60" w:type="dxa"/>
              <w:left w:w="100" w:type="dxa"/>
              <w:bottom w:w="60" w:type="dxa"/>
              <w:right w:w="100" w:type="dxa"/>
            </w:tcMar>
            <w:vAlign w:val="center"/>
          </w:tcPr>
          <w:p w14:paraId="4E5EB1B7">
            <w:pPr>
              <w:spacing w:after="0" w:line="264"/>
            </w:pPr>
            <w:r>
              <w:rPr>
                <w:rFonts w:ascii="Arial" w:hAnsi="Arial" w:eastAsia="Arial" w:cs="Arial"/>
                <w:b/>
                <w:bCs/>
                <w:color w:val="000000"/>
                <w:sz w:val="22"/>
                <w:szCs w:val="22"/>
              </w:rPr>
              <w:t>Capa</w:t>
            </w:r>
          </w:p>
        </w:tc>
        <w:tc>
          <w:tcPr>
            <w:tcW w:w="2400" w:type="dxa"/>
            <w:tcBorders>
              <w:top w:val="single" w:sz="4" w:color="000000"/>
              <w:left w:val="single" w:sz="4" w:color="000000"/>
              <w:bottom w:val="single" w:sz="4" w:color="000000"/>
              <w:right w:val="single" w:sz="4" w:color="000000"/>
            </w:tcBorders>
            <w:tcMar>
              <w:top w:w="60" w:type="dxa"/>
              <w:left w:w="100" w:type="dxa"/>
              <w:bottom w:w="60" w:type="dxa"/>
              <w:right w:w="100" w:type="dxa"/>
            </w:tcMar>
            <w:vAlign w:val="center"/>
          </w:tcPr>
          <w:p w14:paraId="4630505B">
            <w:pPr>
              <w:spacing w:after="0" w:line="264"/>
            </w:pPr>
            <w:r>
              <w:rPr>
                <w:rFonts w:ascii="Arial" w:hAnsi="Arial" w:eastAsia="Arial" w:cs="Arial"/>
                <w:b/>
                <w:bCs/>
                <w:color w:val="000000"/>
                <w:sz w:val="22"/>
                <w:szCs w:val="22"/>
              </w:rPr>
              <w:t>Paquetes</w:t>
            </w:r>
          </w:p>
        </w:tc>
        <w:tc>
          <w:tcPr>
            <w:tcW w:w="4960" w:type="dxa"/>
            <w:tcBorders>
              <w:top w:val="single" w:sz="4" w:color="000000"/>
              <w:left w:val="single" w:sz="4" w:color="000000"/>
              <w:bottom w:val="single" w:sz="4" w:color="000000"/>
              <w:right w:val="single" w:sz="4" w:color="000000"/>
            </w:tcBorders>
            <w:tcMar>
              <w:top w:w="60" w:type="dxa"/>
              <w:left w:w="100" w:type="dxa"/>
              <w:bottom w:w="60" w:type="dxa"/>
              <w:right w:w="100" w:type="dxa"/>
            </w:tcMar>
            <w:vAlign w:val="center"/>
          </w:tcPr>
          <w:p w14:paraId="6B0F2EC5">
            <w:pPr>
              <w:spacing w:after="0" w:line="264"/>
            </w:pPr>
            <w:r>
              <w:rPr>
                <w:rFonts w:ascii="Arial" w:hAnsi="Arial" w:eastAsia="Arial" w:cs="Arial"/>
                <w:b/>
                <w:bCs/>
                <w:color w:val="000000"/>
                <w:sz w:val="22"/>
                <w:szCs w:val="22"/>
              </w:rPr>
              <w:t>Responsabilidad</w:t>
            </w:r>
          </w:p>
        </w:tc>
      </w:tr>
      <w:tr>
        <w:trPr>
          <w:cantSplit/>
        </w:trPr>
        <w:tc>
          <w:tcPr>
            <w:tcW w:w="2000" w:type="dxa"/>
            <w:tcBorders>
              <w:top w:val="single" w:sz="4" w:color="000000"/>
              <w:left w:val="single" w:sz="4" w:color="000000"/>
              <w:bottom w:val="single" w:sz="4" w:color="000000"/>
              <w:right w:val="single" w:sz="4" w:color="000000"/>
            </w:tcBorders>
            <w:tcMar>
              <w:top w:w="60" w:type="dxa"/>
              <w:left w:w="100" w:type="dxa"/>
              <w:bottom w:w="60" w:type="dxa"/>
              <w:right w:w="100" w:type="dxa"/>
            </w:tcMar>
            <w:vAlign w:val="center"/>
          </w:tcPr>
          <w:p w14:paraId="4E83BAC6">
            <w:pPr>
              <w:spacing w:after="0" w:line="264"/>
            </w:pPr>
            <w:r>
              <w:rPr>
                <w:rFonts w:ascii="Arial" w:hAnsi="Arial" w:eastAsia="Arial" w:cs="Arial"/>
                <w:color w:val="000000"/>
                <w:sz w:val="22"/>
                <w:szCs w:val="22"/>
              </w:rPr>
              <w:t>Presentación</w:t>
            </w:r>
          </w:p>
        </w:tc>
        <w:tc>
          <w:tcPr>
            <w:tcW w:w="2400" w:type="dxa"/>
            <w:tcBorders>
              <w:top w:val="single" w:sz="4" w:color="000000"/>
              <w:left w:val="single" w:sz="4" w:color="000000"/>
              <w:bottom w:val="single" w:sz="4" w:color="000000"/>
              <w:right w:val="single" w:sz="4" w:color="000000"/>
            </w:tcBorders>
            <w:tcMar>
              <w:top w:w="60" w:type="dxa"/>
              <w:left w:w="100" w:type="dxa"/>
              <w:bottom w:w="60" w:type="dxa"/>
              <w:right w:w="100" w:type="dxa"/>
            </w:tcMar>
            <w:vAlign w:val="center"/>
          </w:tcPr>
          <w:p w14:paraId="014BBD49">
            <w:pPr>
              <w:spacing w:after="0" w:line="264"/>
            </w:pPr>
            <w:r>
              <w:rPr>
                <w:rFonts w:ascii="Arial" w:hAnsi="Arial" w:eastAsia="Arial" w:cs="Arial"/>
                <w:color w:val="000000"/>
                <w:sz w:val="22"/>
                <w:szCs w:val="22"/>
              </w:rPr>
              <w:t>controlador, vista</w:t>
            </w:r>
          </w:p>
        </w:tc>
        <w:tc>
          <w:tcPr>
            <w:tcW w:w="4960" w:type="dxa"/>
            <w:tcBorders>
              <w:top w:val="single" w:sz="4" w:color="000000"/>
              <w:left w:val="single" w:sz="4" w:color="000000"/>
              <w:bottom w:val="single" w:sz="4" w:color="000000"/>
              <w:right w:val="single" w:sz="4" w:color="000000"/>
            </w:tcBorders>
            <w:tcMar>
              <w:top w:w="60" w:type="dxa"/>
              <w:left w:w="100" w:type="dxa"/>
              <w:bottom w:w="60" w:type="dxa"/>
              <w:right w:w="100" w:type="dxa"/>
            </w:tcMar>
            <w:vAlign w:val="center"/>
          </w:tcPr>
          <w:p w14:paraId="59D1842B">
            <w:pPr>
              <w:spacing w:after="0" w:line="264"/>
            </w:pPr>
            <w:r>
              <w:rPr>
                <w:rFonts w:ascii="Arial" w:hAnsi="Arial" w:eastAsia="Arial" w:cs="Arial"/>
                <w:color w:val="000000"/>
                <w:sz w:val="22"/>
                <w:szCs w:val="22"/>
              </w:rPr>
              <w:t>Recibe las peticiones HTTP, invoca los servicios y muestra los resultados mediante plantillas HTML. No contiene reglas de negocio ni conoce las entidades del dominio.</w:t>
            </w:r>
          </w:p>
        </w:tc>
      </w:tr>
      <w:tr>
        <w:trPr>
          <w:cantSplit/>
        </w:trPr>
        <w:tc>
          <w:tcPr>
            <w:tcW w:w="2000" w:type="dxa"/>
            <w:tcBorders>
              <w:top w:val="single" w:sz="4" w:color="000000"/>
              <w:left w:val="single" w:sz="4" w:color="000000"/>
              <w:bottom w:val="single" w:sz="4" w:color="000000"/>
              <w:right w:val="single" w:sz="4" w:color="000000"/>
            </w:tcBorders>
            <w:tcMar>
              <w:top w:w="60" w:type="dxa"/>
              <w:left w:w="100" w:type="dxa"/>
              <w:bottom w:w="60" w:type="dxa"/>
              <w:right w:w="100" w:type="dxa"/>
            </w:tcMar>
            <w:vAlign w:val="center"/>
          </w:tcPr>
          <w:p w14:paraId="30E835D0">
            <w:pPr>
              <w:spacing w:after="0" w:line="264"/>
            </w:pPr>
            <w:r>
              <w:rPr>
                <w:rFonts w:ascii="Arial" w:hAnsi="Arial" w:eastAsia="Arial" w:cs="Arial"/>
                <w:color w:val="000000"/>
                <w:sz w:val="22"/>
                <w:szCs w:val="22"/>
              </w:rPr>
              <w:t>Negocio</w:t>
            </w:r>
          </w:p>
        </w:tc>
        <w:tc>
          <w:tcPr>
            <w:tcW w:w="2400" w:type="dxa"/>
            <w:tcBorders>
              <w:top w:val="single" w:sz="4" w:color="000000"/>
              <w:left w:val="single" w:sz="4" w:color="000000"/>
              <w:bottom w:val="single" w:sz="4" w:color="000000"/>
              <w:right w:val="single" w:sz="4" w:color="000000"/>
            </w:tcBorders>
            <w:tcMar>
              <w:top w:w="60" w:type="dxa"/>
              <w:left w:w="100" w:type="dxa"/>
              <w:bottom w:w="60" w:type="dxa"/>
              <w:right w:w="100" w:type="dxa"/>
            </w:tcMar>
            <w:vAlign w:val="center"/>
          </w:tcPr>
          <w:p w14:paraId="5386BC74">
            <w:pPr>
              <w:spacing w:after="0" w:line="264"/>
            </w:pPr>
            <w:r>
              <w:rPr>
                <w:rFonts w:ascii="Arial" w:hAnsi="Arial" w:eastAsia="Arial" w:cs="Arial"/>
                <w:color w:val="000000"/>
                <w:sz w:val="22"/>
                <w:szCs w:val="22"/>
              </w:rPr>
              <w:t>servicio, dto, mapper</w:t>
            </w:r>
          </w:p>
        </w:tc>
        <w:tc>
          <w:tcPr>
            <w:tcW w:w="4960" w:type="dxa"/>
            <w:tcBorders>
              <w:top w:val="single" w:sz="4" w:color="000000"/>
              <w:left w:val="single" w:sz="4" w:color="000000"/>
              <w:bottom w:val="single" w:sz="4" w:color="000000"/>
              <w:right w:val="single" w:sz="4" w:color="000000"/>
            </w:tcBorders>
            <w:tcMar>
              <w:top w:w="60" w:type="dxa"/>
              <w:left w:w="100" w:type="dxa"/>
              <w:bottom w:w="60" w:type="dxa"/>
              <w:right w:w="100" w:type="dxa"/>
            </w:tcMar>
            <w:vAlign w:val="center"/>
          </w:tcPr>
          <w:p w14:paraId="186257F5">
            <w:pPr>
              <w:spacing w:after="0" w:line="264"/>
            </w:pPr>
            <w:r>
              <w:rPr>
                <w:rFonts w:ascii="Arial" w:hAnsi="Arial" w:eastAsia="Arial" w:cs="Arial"/>
                <w:color w:val="000000"/>
                <w:sz w:val="22"/>
                <w:szCs w:val="22"/>
              </w:rPr>
              <w:t>Orquesta cada caso de uso: carga lo necesario desde los repositorios, delega en las entidades, define las transacciones, valida las reglas que requieren consultar datos (RN-08) y devuelve DTOs.</w:t>
            </w:r>
          </w:p>
        </w:tc>
      </w:tr>
      <w:tr>
        <w:trPr>
          <w:cantSplit/>
        </w:trPr>
        <w:tc>
          <w:tcPr>
            <w:tcW w:w="2000" w:type="dxa"/>
            <w:tcBorders>
              <w:top w:val="single" w:sz="4" w:color="000000"/>
              <w:left w:val="single" w:sz="4" w:color="000000"/>
              <w:bottom w:val="single" w:sz="4" w:color="000000"/>
              <w:right w:val="single" w:sz="4" w:color="000000"/>
            </w:tcBorders>
            <w:tcMar>
              <w:top w:w="60" w:type="dxa"/>
              <w:left w:w="100" w:type="dxa"/>
              <w:bottom w:w="60" w:type="dxa"/>
              <w:right w:w="100" w:type="dxa"/>
            </w:tcMar>
            <w:vAlign w:val="center"/>
          </w:tcPr>
          <w:p w14:paraId="18BEEFA6">
            <w:pPr>
              <w:spacing w:after="0" w:line="264"/>
            </w:pPr>
            <w:r>
              <w:rPr>
                <w:rFonts w:ascii="Arial" w:hAnsi="Arial" w:eastAsia="Arial" w:cs="Arial"/>
                <w:color w:val="000000"/>
                <w:sz w:val="22"/>
                <w:szCs w:val="22"/>
              </w:rPr>
              <w:t>Datos</w:t>
            </w:r>
          </w:p>
        </w:tc>
        <w:tc>
          <w:tcPr>
            <w:tcW w:w="2400" w:type="dxa"/>
            <w:tcBorders>
              <w:top w:val="single" w:sz="4" w:color="000000"/>
              <w:left w:val="single" w:sz="4" w:color="000000"/>
              <w:bottom w:val="single" w:sz="4" w:color="000000"/>
              <w:right w:val="single" w:sz="4" w:color="000000"/>
            </w:tcBorders>
            <w:tcMar>
              <w:top w:w="60" w:type="dxa"/>
              <w:left w:w="100" w:type="dxa"/>
              <w:bottom w:w="60" w:type="dxa"/>
              <w:right w:w="100" w:type="dxa"/>
            </w:tcMar>
            <w:vAlign w:val="center"/>
          </w:tcPr>
          <w:p w14:paraId="6DD685D9">
            <w:pPr>
              <w:spacing w:after="0" w:line="264"/>
            </w:pPr>
            <w:r>
              <w:rPr>
                <w:rFonts w:ascii="Arial" w:hAnsi="Arial" w:eastAsia="Arial" w:cs="Arial"/>
                <w:color w:val="000000"/>
                <w:sz w:val="22"/>
                <w:szCs w:val="22"/>
              </w:rPr>
              <w:t>repositorio, transaccion, pasarela, jdbc</w:t>
            </w:r>
          </w:p>
        </w:tc>
        <w:tc>
          <w:tcPr>
            <w:tcW w:w="4960" w:type="dxa"/>
            <w:tcBorders>
              <w:top w:val="single" w:sz="4" w:color="000000"/>
              <w:left w:val="single" w:sz="4" w:color="000000"/>
              <w:bottom w:val="single" w:sz="4" w:color="000000"/>
              <w:right w:val="single" w:sz="4" w:color="000000"/>
            </w:tcBorders>
            <w:tcMar>
              <w:top w:w="60" w:type="dxa"/>
              <w:left w:w="100" w:type="dxa"/>
              <w:bottom w:w="60" w:type="dxa"/>
              <w:right w:w="100" w:type="dxa"/>
            </w:tcMar>
            <w:vAlign w:val="center"/>
          </w:tcPr>
          <w:p w14:paraId="273AE8A4">
            <w:pPr>
              <w:spacing w:after="0" w:line="264"/>
            </w:pPr>
            <w:r>
              <w:rPr>
                <w:rFonts w:ascii="Arial" w:hAnsi="Arial" w:eastAsia="Arial" w:cs="Arial"/>
                <w:color w:val="000000"/>
                <w:sz w:val="22"/>
                <w:szCs w:val="22"/>
              </w:rPr>
              <w:t>Acceso a los recursos externos: persistencia en PostgreSQL mediante JDBC, gestión de transacciones y comunicación con la pasarela de pagos.</w:t>
            </w:r>
          </w:p>
        </w:tc>
      </w:tr>
      <w:tr>
        <w:trPr>
          <w:cantSplit/>
        </w:trPr>
        <w:tc>
          <w:tcPr>
            <w:tcW w:w="2000" w:type="dxa"/>
            <w:tcBorders>
              <w:top w:val="single" w:sz="4" w:color="000000"/>
              <w:left w:val="single" w:sz="4" w:color="000000"/>
              <w:bottom w:val="single" w:sz="4" w:color="000000"/>
              <w:right w:val="single" w:sz="4" w:color="000000"/>
            </w:tcBorders>
            <w:tcMar>
              <w:top w:w="60" w:type="dxa"/>
              <w:left w:w="100" w:type="dxa"/>
              <w:bottom w:w="60" w:type="dxa"/>
              <w:right w:w="100" w:type="dxa"/>
            </w:tcMar>
            <w:vAlign w:val="center"/>
          </w:tcPr>
          <w:p w14:paraId="21B490D6">
            <w:pPr>
              <w:spacing w:after="0" w:line="264"/>
            </w:pPr>
            <w:r>
              <w:rPr>
                <w:rFonts w:ascii="Arial" w:hAnsi="Arial" w:eastAsia="Arial" w:cs="Arial"/>
                <w:color w:val="000000"/>
                <w:sz w:val="22"/>
                <w:szCs w:val="22"/>
              </w:rPr>
              <w:t>Dominio (transversal)</w:t>
            </w:r>
          </w:p>
        </w:tc>
        <w:tc>
          <w:tcPr>
            <w:tcW w:w="2400" w:type="dxa"/>
            <w:tcBorders>
              <w:top w:val="single" w:sz="4" w:color="000000"/>
              <w:left w:val="single" w:sz="4" w:color="000000"/>
              <w:bottom w:val="single" w:sz="4" w:color="000000"/>
              <w:right w:val="single" w:sz="4" w:color="000000"/>
            </w:tcBorders>
            <w:tcMar>
              <w:top w:w="60" w:type="dxa"/>
              <w:left w:w="100" w:type="dxa"/>
              <w:bottom w:w="60" w:type="dxa"/>
              <w:right w:w="100" w:type="dxa"/>
            </w:tcMar>
            <w:vAlign w:val="center"/>
          </w:tcPr>
          <w:p w14:paraId="6D9166D5">
            <w:pPr>
              <w:spacing w:after="0" w:line="264"/>
            </w:pPr>
            <w:r>
              <w:rPr>
                <w:rFonts w:ascii="Arial" w:hAnsi="Arial" w:eastAsia="Arial" w:cs="Arial"/>
                <w:color w:val="000000"/>
                <w:sz w:val="22"/>
                <w:szCs w:val="22"/>
              </w:rPr>
              <w:t>modelo, cobro</w:t>
            </w:r>
          </w:p>
        </w:tc>
        <w:tc>
          <w:tcPr>
            <w:tcW w:w="4960" w:type="dxa"/>
            <w:tcBorders>
              <w:top w:val="single" w:sz="4" w:color="000000"/>
              <w:left w:val="single" w:sz="4" w:color="000000"/>
              <w:bottom w:val="single" w:sz="4" w:color="000000"/>
              <w:right w:val="single" w:sz="4" w:color="000000"/>
            </w:tcBorders>
            <w:tcMar>
              <w:top w:w="60" w:type="dxa"/>
              <w:left w:w="100" w:type="dxa"/>
              <w:bottom w:w="60" w:type="dxa"/>
              <w:right w:w="100" w:type="dxa"/>
            </w:tcMar>
            <w:vAlign w:val="center"/>
          </w:tcPr>
          <w:p w14:paraId="1BF51BAF">
            <w:pPr>
              <w:spacing w:after="0" w:line="264"/>
            </w:pPr>
            <w:r>
              <w:rPr>
                <w:rFonts w:ascii="Arial" w:hAnsi="Arial" w:eastAsia="Arial" w:cs="Arial"/>
                <w:color w:val="000000"/>
                <w:sz w:val="22"/>
                <w:szCs w:val="22"/>
              </w:rPr>
              <w:t>Entidades con sus reglas y la política de cobro. No depende de ninguna capa; solo usa el paquete común para lanzar la excepción de negocio.</w:t>
            </w:r>
          </w:p>
        </w:tc>
      </w:tr>
      <w:tr>
        <w:trPr>
          <w:cantSplit/>
        </w:trPr>
        <w:tc>
          <w:tcPr>
            <w:tcW w:w="2000" w:type="dxa"/>
            <w:tcBorders>
              <w:top w:val="single" w:sz="4" w:color="000000"/>
              <w:left w:val="single" w:sz="4" w:color="000000"/>
              <w:bottom w:val="single" w:sz="4" w:color="000000"/>
              <w:right w:val="single" w:sz="4" w:color="000000"/>
            </w:tcBorders>
            <w:tcMar>
              <w:top w:w="60" w:type="dxa"/>
              <w:left w:w="100" w:type="dxa"/>
              <w:bottom w:w="60" w:type="dxa"/>
              <w:right w:w="100" w:type="dxa"/>
            </w:tcMar>
            <w:vAlign w:val="center"/>
          </w:tcPr>
          <w:p w14:paraId="64EB2024">
            <w:pPr>
              <w:spacing w:after="0" w:line="264"/>
            </w:pPr>
            <w:r>
              <w:rPr>
                <w:rFonts w:ascii="Arial" w:hAnsi="Arial" w:eastAsia="Arial" w:cs="Arial"/>
                <w:color w:val="000000"/>
                <w:sz w:val="22"/>
                <w:szCs w:val="22"/>
              </w:rPr>
              <w:t>Común (transversal)</w:t>
            </w:r>
          </w:p>
        </w:tc>
        <w:tc>
          <w:tcPr>
            <w:tcW w:w="2400" w:type="dxa"/>
            <w:tcBorders>
              <w:top w:val="single" w:sz="4" w:color="000000"/>
              <w:left w:val="single" w:sz="4" w:color="000000"/>
              <w:bottom w:val="single" w:sz="4" w:color="000000"/>
              <w:right w:val="single" w:sz="4" w:color="000000"/>
            </w:tcBorders>
            <w:tcMar>
              <w:top w:w="60" w:type="dxa"/>
              <w:left w:w="100" w:type="dxa"/>
              <w:bottom w:w="60" w:type="dxa"/>
              <w:right w:w="100" w:type="dxa"/>
            </w:tcMar>
            <w:vAlign w:val="center"/>
          </w:tcPr>
          <w:p w14:paraId="04812AF7">
            <w:pPr>
              <w:spacing w:after="0" w:line="264"/>
            </w:pPr>
            <w:r>
              <w:rPr>
                <w:rFonts w:ascii="Arial" w:hAnsi="Arial" w:eastAsia="Arial" w:cs="Arial"/>
                <w:color w:val="000000"/>
                <w:sz w:val="22"/>
                <w:szCs w:val="22"/>
              </w:rPr>
              <w:t>comun</w:t>
            </w:r>
          </w:p>
        </w:tc>
        <w:tc>
          <w:tcPr>
            <w:tcW w:w="4960" w:type="dxa"/>
            <w:tcBorders>
              <w:top w:val="single" w:sz="4" w:color="000000"/>
              <w:left w:val="single" w:sz="4" w:color="000000"/>
              <w:bottom w:val="single" w:sz="4" w:color="000000"/>
              <w:right w:val="single" w:sz="4" w:color="000000"/>
            </w:tcBorders>
            <w:tcMar>
              <w:top w:w="60" w:type="dxa"/>
              <w:left w:w="100" w:type="dxa"/>
              <w:bottom w:w="60" w:type="dxa"/>
              <w:right w:w="100" w:type="dxa"/>
            </w:tcMar>
            <w:vAlign w:val="center"/>
          </w:tcPr>
          <w:p w14:paraId="3E516EBB">
            <w:pPr>
              <w:spacing w:after="0" w:line="264"/>
            </w:pPr>
            <w:r>
              <w:rPr>
                <w:rFonts w:ascii="Arial" w:hAnsi="Arial" w:eastAsia="Arial" w:cs="Arial"/>
                <w:color w:val="000000"/>
                <w:sz w:val="22"/>
                <w:szCs w:val="22"/>
              </w:rPr>
              <w:t>Contiene la excepción de negocio, utilizada por todas las capas para comunicar violaciones de reglas.</w:t>
            </w:r>
          </w:p>
        </w:tc>
      </w:tr>
      <w:tr>
        <w:trPr>
          <w:cantSplit/>
        </w:trPr>
        <w:tc>
          <w:tcPr>
            <w:tcW w:w="2000" w:type="dxa"/>
            <w:tcBorders>
              <w:top w:val="single" w:sz="4" w:color="000000"/>
              <w:left w:val="single" w:sz="4" w:color="000000"/>
              <w:bottom w:val="single" w:sz="4" w:color="000000"/>
              <w:right w:val="single" w:sz="4" w:color="000000"/>
            </w:tcBorders>
            <w:tcMar>
              <w:top w:w="60" w:type="dxa"/>
              <w:left w:w="100" w:type="dxa"/>
              <w:bottom w:w="60" w:type="dxa"/>
              <w:right w:w="100" w:type="dxa"/>
            </w:tcMar>
            <w:vAlign w:val="center"/>
          </w:tcPr>
          <w:p w14:paraId="01814576">
            <w:pPr>
              <w:spacing w:after="0" w:line="264"/>
            </w:pPr>
            <w:r>
              <w:rPr>
                <w:rFonts w:ascii="Arial" w:hAnsi="Arial" w:eastAsia="Arial" w:cs="Arial"/>
                <w:color w:val="000000"/>
                <w:sz w:val="22"/>
                <w:szCs w:val="22"/>
              </w:rPr>
              <w:t>Configuración</w:t>
            </w:r>
          </w:p>
        </w:tc>
        <w:tc>
          <w:tcPr>
            <w:tcW w:w="2400" w:type="dxa"/>
            <w:tcBorders>
              <w:top w:val="single" w:sz="4" w:color="000000"/>
              <w:left w:val="single" w:sz="4" w:color="000000"/>
              <w:bottom w:val="single" w:sz="4" w:color="000000"/>
              <w:right w:val="single" w:sz="4" w:color="000000"/>
            </w:tcBorders>
            <w:tcMar>
              <w:top w:w="60" w:type="dxa"/>
              <w:left w:w="100" w:type="dxa"/>
              <w:bottom w:w="60" w:type="dxa"/>
              <w:right w:w="100" w:type="dxa"/>
            </w:tcMar>
            <w:vAlign w:val="center"/>
          </w:tcPr>
          <w:p w14:paraId="2C2BFC27">
            <w:pPr>
              <w:spacing w:after="0" w:line="264"/>
            </w:pPr>
            <w:r>
              <w:rPr>
                <w:rFonts w:ascii="Arial" w:hAnsi="Arial" w:eastAsia="Arial" w:cs="Arial"/>
                <w:color w:val="000000"/>
                <w:sz w:val="22"/>
                <w:szCs w:val="22"/>
              </w:rPr>
              <w:t>config</w:t>
            </w:r>
          </w:p>
        </w:tc>
        <w:tc>
          <w:tcPr>
            <w:tcW w:w="4960" w:type="dxa"/>
            <w:tcBorders>
              <w:top w:val="single" w:sz="4" w:color="000000"/>
              <w:left w:val="single" w:sz="4" w:color="000000"/>
              <w:bottom w:val="single" w:sz="4" w:color="000000"/>
              <w:right w:val="single" w:sz="4" w:color="000000"/>
            </w:tcBorders>
            <w:tcMar>
              <w:top w:w="60" w:type="dxa"/>
              <w:left w:w="100" w:type="dxa"/>
              <w:bottom w:w="60" w:type="dxa"/>
              <w:right w:w="100" w:type="dxa"/>
            </w:tcMar>
            <w:vAlign w:val="center"/>
          </w:tcPr>
          <w:p w14:paraId="66C62796">
            <w:pPr>
              <w:spacing w:after="0" w:line="264"/>
            </w:pPr>
            <w:r>
              <w:rPr>
                <w:rFonts w:ascii="Arial" w:hAnsi="Arial" w:eastAsia="Arial" w:cs="Arial"/>
                <w:color w:val="000000"/>
                <w:sz w:val="22"/>
                <w:szCs w:val="22"/>
              </w:rPr>
              <w:t>Punto de arranque de la aplicación. Crea los objetos de cada capa y los conecta (inyección de dependencias manual).</w:t>
            </w:r>
          </w:p>
        </w:tc>
      </w:tr>
    </w:tbl>
    <w:p w14:paraId="1EF8EDA7">
      <w:pPr>
        <w:pStyle w:val="Heading2"/>
      </w:pPr>
      <w:r>
        <w:rPr>
          <w:rFonts w:ascii="Arial" w:hAnsi="Arial" w:eastAsia="Arial" w:cs="Arial"/>
          <w:b/>
          <w:bCs/>
          <w:color w:val="000000"/>
          <w:sz w:val="24"/>
          <w:szCs w:val="24"/>
        </w:rPr>
        <w:t>8.3 Reglas de dependencia</w:t>
      </w:r>
    </w:p>
    <w:p w14:paraId="40A97970">
      <w:pPr>
        <w:pStyle w:val="ListParagraph"/>
        <w:numPr>
          <w:ilvl w:val="0"/>
          <w:numId w:val="2"/>
        </w:numPr>
        <w:spacing w:after="80" w:line="276"/>
        <w:ind w:left="720" w:hanging="360"/>
        <w:jc w:val="both"/>
      </w:pPr>
      <w:r>
        <w:rPr>
          <w:rFonts w:ascii="Arial" w:hAnsi="Arial" w:eastAsia="Arial" w:cs="Arial"/>
          <w:color w:val="000000"/>
          <w:sz w:val="22"/>
          <w:szCs w:val="22"/>
        </w:rPr>
        <w:t>Las dependencias van solo hacia abajo: presentación → negocio → datos.</w:t>
      </w:r>
    </w:p>
    <w:p w14:paraId="17417091">
      <w:pPr>
        <w:pStyle w:val="ListParagraph"/>
        <w:numPr>
          <w:ilvl w:val="0"/>
          <w:numId w:val="2"/>
        </w:numPr>
        <w:spacing w:after="80" w:line="276"/>
        <w:ind w:left="720" w:hanging="360"/>
        <w:jc w:val="both"/>
      </w:pPr>
      <w:r>
        <w:rPr>
          <w:rFonts w:ascii="Arial" w:hAnsi="Arial" w:eastAsia="Arial" w:cs="Arial"/>
          <w:color w:val="000000"/>
          <w:sz w:val="22"/>
          <w:szCs w:val="22"/>
        </w:rPr>
        <w:t>Ninguna capa se salta a otra: un controlador nunca accede a un repositorio.</w:t>
      </w:r>
    </w:p>
    <w:p w14:paraId="1C336C97">
      <w:pPr>
        <w:pStyle w:val="ListParagraph"/>
        <w:numPr>
          <w:ilvl w:val="0"/>
          <w:numId w:val="2"/>
        </w:numPr>
        <w:spacing w:after="80" w:line="276"/>
        <w:ind w:left="720" w:hanging="360"/>
        <w:jc w:val="both"/>
      </w:pPr>
      <w:r>
        <w:rPr>
          <w:rFonts w:ascii="Arial" w:hAnsi="Arial" w:eastAsia="Arial" w:cs="Arial"/>
          <w:color w:val="000000"/>
          <w:sz w:val="22"/>
          <w:szCs w:val="22"/>
        </w:rPr>
        <w:t>Ninguna capa depende de una capa superior.</w:t>
      </w:r>
    </w:p>
    <w:p w14:paraId="16767F39">
      <w:pPr>
        <w:pStyle w:val="ListParagraph"/>
        <w:numPr>
          <w:ilvl w:val="0"/>
          <w:numId w:val="2"/>
        </w:numPr>
        <w:spacing w:after="80" w:line="276"/>
        <w:ind w:left="720" w:hanging="360"/>
        <w:jc w:val="both"/>
      </w:pPr>
      <w:r>
        <w:rPr>
          <w:rFonts w:ascii="Arial" w:hAnsi="Arial" w:eastAsia="Arial" w:cs="Arial"/>
          <w:color w:val="000000"/>
          <w:sz w:val="22"/>
          <w:szCs w:val="22"/>
        </w:rPr>
        <w:t>La presentación no usa el dominio; recibe DTOs de la capa de negocio.</w:t>
      </w:r>
    </w:p>
    <w:p w14:paraId="6BD3D3C2">
      <w:pPr>
        <w:pStyle w:val="ListParagraph"/>
        <w:numPr>
          <w:ilvl w:val="0"/>
          <w:numId w:val="2"/>
        </w:numPr>
        <w:spacing w:after="80" w:line="276"/>
        <w:ind w:left="720" w:hanging="360"/>
        <w:jc w:val="both"/>
      </w:pPr>
      <w:r>
        <w:rPr>
          <w:rFonts w:ascii="Arial" w:hAnsi="Arial" w:eastAsia="Arial" w:cs="Arial"/>
          <w:color w:val="000000"/>
          <w:sz w:val="22"/>
          <w:szCs w:val="22"/>
        </w:rPr>
        <w:t>Negocio y datos usan el dominio; todas las capas pueden usar el paquete común.</w:t>
      </w:r>
    </w:p>
    <w:p w14:paraId="1E0307C7">
      <w:pPr>
        <w:pStyle w:val="ListParagraph"/>
        <w:numPr>
          <w:ilvl w:val="0"/>
          <w:numId w:val="2"/>
        </w:numPr>
        <w:spacing w:after="80" w:line="276"/>
        <w:ind w:left="720" w:hanging="360"/>
        <w:jc w:val="both"/>
      </w:pPr>
      <w:r>
        <w:rPr>
          <w:rFonts w:ascii="Arial" w:hAnsi="Arial" w:eastAsia="Arial" w:cs="Arial"/>
          <w:color w:val="000000"/>
          <w:sz w:val="22"/>
          <w:szCs w:val="22"/>
        </w:rPr>
        <w:t>Solo el paquete de configuración conoce todas las capas.</w:t>
      </w:r>
    </w:p>
    <w:p w14:paraId="51654448">
      <w:pPr>
        <w:pStyle w:val="Heading2"/>
      </w:pPr>
      <w:r>
        <w:rPr>
          <w:rFonts w:ascii="Arial" w:hAnsi="Arial" w:eastAsia="Arial" w:cs="Arial"/>
          <w:b/>
          <w:bCs/>
          <w:color w:val="000000"/>
          <w:sz w:val="24"/>
          <w:szCs w:val="24"/>
        </w:rPr>
        <w:t>8.4 Decisiones arquitectónicas</w:t>
      </w:r>
    </w:p>
    <w:p w14:paraId="1CA5D9A7">
      <w:pPr>
        <w:pStyle w:val="Heading3"/>
      </w:pPr>
      <w:r>
        <w:rPr>
          <w:rFonts w:ascii="Arial" w:hAnsi="Arial" w:eastAsia="Arial" w:cs="Arial"/>
          <w:b/>
          <w:bCs/>
          <w:color w:val="000000"/>
          <w:sz w:val="22"/>
          <w:szCs w:val="22"/>
        </w:rPr>
        <w:t>DTOs y mappers</w:t>
      </w:r>
    </w:p>
    <w:p w14:paraId="76743576">
      <w:pPr>
        <w:spacing w:after="120" w:line="276"/>
        <w:jc w:val="both"/>
      </w:pPr>
      <w:r>
        <w:rPr>
          <w:rFonts w:ascii="Arial" w:hAnsi="Arial" w:eastAsia="Arial" w:cs="Arial"/>
          <w:color w:val="000000"/>
          <w:sz w:val="22"/>
          <w:szCs w:val="22"/>
        </w:rPr>
        <w:t>Los servicios reciben datos simples (placa, código de tipo) y devuelven DTOs: objetos que solo contienen datos para mostrar, sin métodos de negocio. Como ninguna entidad sale de la capa de negocio, la presentación no puede invocar operaciones del dominio saltándose los servicios, sus validaciones y sus transacciones.</w:t>
      </w:r>
    </w:p>
    <w:p w14:paraId="2482459C">
      <w:pPr>
        <w:spacing w:after="120" w:line="276"/>
        <w:jc w:val="both"/>
      </w:pPr>
      <w:r>
        <w:rPr>
          <w:rFonts w:ascii="Arial" w:hAnsi="Arial" w:eastAsia="Arial" w:cs="Arial"/>
          <w:color w:val="000000"/>
          <w:sz w:val="22"/>
          <w:szCs w:val="22"/>
        </w:rPr>
        <w:t>La conversión se realiza en clases mapper dedicadas, que cumplen las siguientes reglas:</w:t>
      </w:r>
    </w:p>
    <w:p w14:paraId="5C76851C">
      <w:pPr>
        <w:pStyle w:val="ListParagraph"/>
        <w:numPr>
          <w:ilvl w:val="0"/>
          <w:numId w:val="2"/>
        </w:numPr>
        <w:spacing w:after="80" w:line="276"/>
        <w:ind w:left="720" w:hanging="360"/>
        <w:jc w:val="both"/>
      </w:pPr>
      <w:r>
        <w:rPr>
          <w:rFonts w:ascii="Arial" w:hAnsi="Arial" w:eastAsia="Arial" w:cs="Arial"/>
          <w:color w:val="000000"/>
          <w:sz w:val="22"/>
          <w:szCs w:val="22"/>
        </w:rPr>
        <w:t>Un mapper por entidad, responsable únicamente de convertirla en su DTO.</w:t>
      </w:r>
    </w:p>
    <w:p w14:paraId="191137C3">
      <w:pPr>
        <w:pStyle w:val="ListParagraph"/>
        <w:numPr>
          <w:ilvl w:val="0"/>
          <w:numId w:val="2"/>
        </w:numPr>
        <w:spacing w:after="80" w:line="276"/>
        <w:ind w:left="720" w:hanging="360"/>
        <w:jc w:val="both"/>
      </w:pPr>
      <w:r>
        <w:rPr>
          <w:rFonts w:ascii="Arial" w:hAnsi="Arial" w:eastAsia="Arial" w:cs="Arial"/>
          <w:color w:val="000000"/>
          <w:sz w:val="22"/>
          <w:szCs w:val="22"/>
        </w:rPr>
        <w:t>Conversión en una sola dirección (entidad a DTO). Las entidades se crean siempre con sus propios métodos, como Estadia.iniciar, para no saltarse las validaciones del dominio.</w:t>
      </w:r>
    </w:p>
    <w:p w14:paraId="31D47BE9">
      <w:pPr>
        <w:pStyle w:val="ListParagraph"/>
        <w:numPr>
          <w:ilvl w:val="0"/>
          <w:numId w:val="2"/>
        </w:numPr>
        <w:spacing w:after="80" w:line="276"/>
        <w:ind w:left="720" w:hanging="360"/>
        <w:jc w:val="both"/>
      </w:pPr>
      <w:r>
        <w:rPr>
          <w:rFonts w:ascii="Arial" w:hAnsi="Arial" w:eastAsia="Arial" w:cs="Arial"/>
          <w:color w:val="000000"/>
          <w:sz w:val="22"/>
          <w:szCs w:val="22"/>
        </w:rPr>
        <w:t>Sin estado ni dependencias: no usan repositorios ni servicios, ni aplican reglas de negocio.</w:t>
      </w:r>
    </w:p>
    <w:p w14:paraId="6C518688">
      <w:pPr>
        <w:pStyle w:val="ListParagraph"/>
        <w:numPr>
          <w:ilvl w:val="0"/>
          <w:numId w:val="2"/>
        </w:numPr>
        <w:spacing w:after="80" w:line="276"/>
        <w:ind w:left="720" w:hanging="360"/>
        <w:jc w:val="both"/>
      </w:pPr>
      <w:r>
        <w:rPr>
          <w:rFonts w:ascii="Arial" w:hAnsi="Arial" w:eastAsia="Arial" w:cs="Arial"/>
          <w:color w:val="000000"/>
          <w:sz w:val="22"/>
          <w:szCs w:val="22"/>
        </w:rPr>
        <w:t>Solo los usan los servicios.</w:t>
      </w:r>
    </w:p>
    <w:p w14:paraId="780AF84A">
      <w:pPr>
        <w:spacing w:after="120" w:line="276"/>
        <w:jc w:val="both"/>
      </w:pPr>
      <w:r>
        <w:rPr>
          <w:rFonts w:ascii="Arial" w:hAnsi="Arial" w:eastAsia="Arial" w:cs="Arial"/>
          <w:color w:val="000000"/>
          <w:sz w:val="22"/>
          <w:szCs w:val="22"/>
        </w:rPr>
        <w:t>ReporteIngresosDTO no tiene mapper porque no corresponde a una entidad: es un resultado agregado que el servicio construye a partir de la consulta.</w:t>
      </w:r>
    </w:p>
    <w:p w14:paraId="463022A4">
      <w:pPr>
        <w:pStyle w:val="Heading3"/>
      </w:pPr>
      <w:r>
        <w:rPr>
          <w:rFonts w:ascii="Arial" w:hAnsi="Arial" w:eastAsia="Arial" w:cs="Arial"/>
          <w:b/>
          <w:bCs/>
          <w:color w:val="000000"/>
          <w:sz w:val="22"/>
          <w:szCs w:val="22"/>
        </w:rPr>
        <w:t>Excepción de negocio en un paquete común</w:t>
      </w:r>
    </w:p>
    <w:p w14:paraId="52DEE4D9">
      <w:pPr>
        <w:spacing w:after="120" w:line="276"/>
        <w:jc w:val="both"/>
      </w:pPr>
      <w:r>
        <w:rPr>
          <w:rFonts w:ascii="Arial" w:hAnsi="Arial" w:eastAsia="Arial" w:cs="Arial"/>
          <w:color w:val="000000"/>
          <w:sz w:val="22"/>
          <w:szCs w:val="22"/>
        </w:rPr>
        <w:t>La presentación necesita capturar la excepción de negocio para mostrar mensajes al usuario. Si la excepción residiera en el dominio, la presentación dependería de él. Por eso se ubica en un paquete transversal que no contiene lógica.</w:t>
      </w:r>
    </w:p>
    <w:p w14:paraId="38250059">
      <w:pPr>
        <w:pStyle w:val="Heading3"/>
      </w:pPr>
      <w:r>
        <w:rPr>
          <w:rFonts w:ascii="Arial" w:hAnsi="Arial" w:eastAsia="Arial" w:cs="Arial"/>
          <w:b/>
          <w:bCs/>
          <w:color w:val="000000"/>
          <w:sz w:val="22"/>
          <w:szCs w:val="22"/>
        </w:rPr>
        <w:t>Repositorios como interfaces</w:t>
      </w:r>
    </w:p>
    <w:p w14:paraId="5FAAA069">
      <w:pPr>
        <w:spacing w:after="120" w:line="276"/>
        <w:jc w:val="both"/>
      </w:pPr>
      <w:r>
        <w:rPr>
          <w:rFonts w:ascii="Arial" w:hAnsi="Arial" w:eastAsia="Arial" w:cs="Arial"/>
          <w:color w:val="000000"/>
          <w:sz w:val="22"/>
          <w:szCs w:val="22"/>
        </w:rPr>
        <w:t>El negocio depende de las interfaces de los repositorios, no de su implementación JDBC. Esto aísla a los servicios de los detalles de persistencia y permite probarlos con implementaciones en memoria. No existe un repositorio de pagos: como el pago es parte de la estadía (composición), se guarda y se carga a través del repositorio de estadías.</w:t>
      </w:r>
    </w:p>
    <w:p w14:paraId="1D48C2F5">
      <w:pPr>
        <w:pStyle w:val="Heading3"/>
      </w:pPr>
      <w:r>
        <w:rPr>
          <w:rFonts w:ascii="Arial" w:hAnsi="Arial" w:eastAsia="Arial" w:cs="Arial"/>
          <w:b/>
          <w:bCs/>
          <w:color w:val="000000"/>
          <w:sz w:val="22"/>
          <w:szCs w:val="22"/>
        </w:rPr>
        <w:t>Pasarela de pagos</w:t>
      </w:r>
    </w:p>
    <w:p w14:paraId="7527C16E">
      <w:pPr>
        <w:spacing w:after="120" w:line="276"/>
        <w:jc w:val="both"/>
      </w:pPr>
      <w:r>
        <w:rPr>
          <w:rFonts w:ascii="Arial" w:hAnsi="Arial" w:eastAsia="Arial" w:cs="Arial"/>
          <w:color w:val="000000"/>
          <w:sz w:val="22"/>
          <w:szCs w:val="22"/>
        </w:rPr>
        <w:t>Para el sistema, la pasarela es un recurso externo, igual que la base de datos. Por eso se trata como un repositorio: la interfaz PasarelaPago y su implementación PasarelaPagoSimulada se ubican en la capa de datos, y el servicio depende solo de la interfaz. Ubicar la interfaz en la capa de negocio obligaría a la capa de datos a depender de una capa superior. Integrar una pasarela real solo requeriría una nueva implementación conectada en la configuración.</w:t>
      </w:r>
    </w:p>
    <w:p w14:paraId="742BB037">
      <w:pPr>
        <w:pStyle w:val="Heading3"/>
      </w:pPr>
      <w:r>
        <w:rPr>
          <w:rFonts w:ascii="Arial" w:hAnsi="Arial" w:eastAsia="Arial" w:cs="Arial"/>
          <w:b/>
          <w:bCs/>
          <w:color w:val="000000"/>
          <w:sz w:val="22"/>
          <w:szCs w:val="22"/>
        </w:rPr>
        <w:t>Gestión de transacciones</w:t>
      </w:r>
    </w:p>
    <w:p w14:paraId="65D9F1C8">
      <w:pPr>
        <w:spacing w:after="120" w:line="276"/>
        <w:jc w:val="both"/>
      </w:pPr>
      <w:r>
        <w:rPr>
          <w:rFonts w:ascii="Arial" w:hAnsi="Arial" w:eastAsia="Arial" w:cs="Arial"/>
          <w:color w:val="000000"/>
          <w:sz w:val="22"/>
          <w:szCs w:val="22"/>
        </w:rPr>
        <w:t>Cada caso de uso que modifica varios registros se ejecuta como una sola transacción. La capa de negocio decide el alcance de cada transacción y la utiliza mediante la interfaz GestorTransacciones, declarada en la capa de datos junto a su implementación GestorTransaccionesJdbc. El gestor comparte una misma conexión entre todos los repositorios que participan, confirma los cambios si la operación termina correctamente y los deshace si ocurre un error. Las operaciones que lo requieren son:</w:t>
      </w:r>
    </w:p>
    <w:p w14:paraId="6D2D34F8">
      <w:pPr>
        <w:pStyle w:val="ListParagraph"/>
        <w:numPr>
          <w:ilvl w:val="0"/>
          <w:numId w:val="2"/>
        </w:numPr>
        <w:spacing w:after="80" w:line="276"/>
        <w:ind w:left="720" w:hanging="360"/>
        <w:jc w:val="both"/>
      </w:pPr>
      <w:r>
        <w:rPr>
          <w:rFonts w:ascii="Arial" w:hAnsi="Arial" w:eastAsia="Arial" w:cs="Arial"/>
          <w:color w:val="000000"/>
          <w:sz w:val="22"/>
          <w:szCs w:val="22"/>
        </w:rPr>
        <w:t>Registrar un ingreso con un vehículo nuevo (RN-06).</w:t>
      </w:r>
    </w:p>
    <w:p w14:paraId="3E996E6C">
      <w:pPr>
        <w:pStyle w:val="ListParagraph"/>
        <w:numPr>
          <w:ilvl w:val="0"/>
          <w:numId w:val="2"/>
        </w:numPr>
        <w:spacing w:after="80" w:line="276"/>
        <w:ind w:left="720" w:hanging="360"/>
        <w:jc w:val="both"/>
      </w:pPr>
      <w:r>
        <w:rPr>
          <w:rFonts w:ascii="Arial" w:hAnsi="Arial" w:eastAsia="Arial" w:cs="Arial"/>
          <w:color w:val="000000"/>
          <w:sz w:val="22"/>
          <w:szCs w:val="22"/>
        </w:rPr>
        <w:t>Crear un tipo de vehículo con su tarifa inicial (RN-15).</w:t>
      </w:r>
    </w:p>
    <w:p w14:paraId="60DA9C66">
      <w:pPr>
        <w:pStyle w:val="ListParagraph"/>
        <w:numPr>
          <w:ilvl w:val="0"/>
          <w:numId w:val="2"/>
        </w:numPr>
        <w:spacing w:after="80" w:line="276"/>
        <w:ind w:left="720" w:hanging="360"/>
        <w:jc w:val="both"/>
      </w:pPr>
      <w:r>
        <w:rPr>
          <w:rFonts w:ascii="Arial" w:hAnsi="Arial" w:eastAsia="Arial" w:cs="Arial"/>
          <w:color w:val="000000"/>
          <w:sz w:val="22"/>
          <w:szCs w:val="22"/>
        </w:rPr>
        <w:t>Cambiar una tarifa, cerrando la vigente y creando la nueva (RN-04).</w:t>
      </w:r>
    </w:p>
    <w:p w14:paraId="77F7E252">
      <w:pPr>
        <w:pStyle w:val="ListParagraph"/>
        <w:numPr>
          <w:ilvl w:val="0"/>
          <w:numId w:val="2"/>
        </w:numPr>
        <w:spacing w:after="80" w:line="276"/>
        <w:ind w:left="720" w:hanging="360"/>
        <w:jc w:val="both"/>
      </w:pPr>
      <w:r>
        <w:rPr>
          <w:rFonts w:ascii="Arial" w:hAnsi="Arial" w:eastAsia="Arial" w:cs="Arial"/>
          <w:color w:val="000000"/>
          <w:sz w:val="22"/>
          <w:szCs w:val="22"/>
        </w:rPr>
        <w:t>Registrar un pago y cerrar la estadía (RN-10, RN-11).</w:t>
      </w:r>
    </w:p>
    <w:p w14:paraId="107AF60E">
      <w:pPr>
        <w:pStyle w:val="Heading3"/>
      </w:pPr>
      <w:r>
        <w:rPr>
          <w:rFonts w:ascii="Arial" w:hAnsi="Arial" w:eastAsia="Arial" w:cs="Arial"/>
          <w:b/>
          <w:bCs/>
          <w:color w:val="000000"/>
          <w:sz w:val="22"/>
          <w:szCs w:val="22"/>
        </w:rPr>
        <w:t>Ensamblado manual sin frameworks</w:t>
      </w:r>
    </w:p>
    <w:p w14:paraId="49F6025C">
      <w:pPr>
        <w:spacing w:after="120" w:line="276"/>
        <w:jc w:val="both"/>
      </w:pPr>
      <w:r>
        <w:rPr>
          <w:rFonts w:ascii="Arial" w:hAnsi="Arial" w:eastAsia="Arial" w:cs="Arial"/>
          <w:color w:val="000000"/>
          <w:sz w:val="22"/>
          <w:szCs w:val="22"/>
        </w:rPr>
        <w:t>Al no utilizar frameworks, la creación y conexión de los objetos de cada capa se realiza explícitamente en la clase Aplicacion. Este ensamblado hace visible la arquitectura: cada controlador recibe sus servicios, cada servicio recibe sus repositorios y su política de cobro, y cada repositorio recibe el gestor de transacciones.</w:t>
      </w:r>
    </w:p>
    <w:p w14:paraId="4F86FF2B">
      <w:pPr>
        <w:pStyle w:val="Heading2"/>
      </w:pPr>
      <w:r>
        <w:rPr>
          <w:rFonts w:ascii="Arial" w:hAnsi="Arial" w:eastAsia="Arial" w:cs="Arial"/>
          <w:b/>
          <w:bCs/>
          <w:color w:val="000000"/>
          <w:sz w:val="24"/>
          <w:szCs w:val="24"/>
        </w:rPr>
        <w:t>8.5 Atributos de calidad</w:t>
      </w:r>
    </w:p>
    <w:p w14:paraId="026D7508">
      <w:pPr>
        <w:pStyle w:val="ListParagraph"/>
        <w:numPr>
          <w:ilvl w:val="0"/>
          <w:numId w:val="2"/>
        </w:numPr>
        <w:spacing w:after="80" w:line="276"/>
        <w:ind w:left="720" w:hanging="360"/>
        <w:jc w:val="both"/>
      </w:pPr>
      <w:r>
        <w:rPr>
          <w:rFonts w:ascii="Arial" w:hAnsi="Arial" w:eastAsia="Arial" w:cs="Arial"/>
          <w:b/>
          <w:bCs/>
          <w:color w:val="000000"/>
          <w:sz w:val="22"/>
          <w:szCs w:val="22"/>
        </w:rPr>
        <w:t xml:space="preserve">Mantenibilidad y extensibilidad: </w:t>
      </w:r>
      <w:r>
        <w:rPr>
          <w:rFonts w:ascii="Arial" w:hAnsi="Arial" w:eastAsia="Arial" w:cs="Arial"/>
          <w:color w:val="000000"/>
          <w:sz w:val="22"/>
          <w:szCs w:val="22"/>
        </w:rPr>
        <w:t>los cambios de negocio previstos (tarifas y tipos de vehículo) se realizan como datos, sin modificar el software; el único comportamiento variable, el cálculo del cobro, está aislado detrás de una interfaz.</w:t>
      </w:r>
    </w:p>
    <w:p w14:paraId="25191AD1">
      <w:pPr>
        <w:pStyle w:val="ListParagraph"/>
        <w:numPr>
          <w:ilvl w:val="0"/>
          <w:numId w:val="2"/>
        </w:numPr>
        <w:spacing w:after="80" w:line="276"/>
        <w:ind w:left="720" w:hanging="360"/>
        <w:jc w:val="both"/>
      </w:pPr>
      <w:r>
        <w:rPr>
          <w:rFonts w:ascii="Arial" w:hAnsi="Arial" w:eastAsia="Arial" w:cs="Arial"/>
          <w:b/>
          <w:bCs/>
          <w:color w:val="000000"/>
          <w:sz w:val="22"/>
          <w:szCs w:val="22"/>
        </w:rPr>
        <w:t xml:space="preserve">Bajo acoplamiento: </w:t>
      </w:r>
      <w:r>
        <w:rPr>
          <w:rFonts w:ascii="Arial" w:hAnsi="Arial" w:eastAsia="Arial" w:cs="Arial"/>
          <w:color w:val="000000"/>
          <w:sz w:val="22"/>
          <w:szCs w:val="22"/>
        </w:rPr>
        <w:t>cada capa depende de interfaces de la capa inferior, y la presentación no conoce el dominio.</w:t>
      </w:r>
    </w:p>
    <w:p w14:paraId="421858CA">
      <w:pPr>
        <w:pStyle w:val="ListParagraph"/>
        <w:numPr>
          <w:ilvl w:val="0"/>
          <w:numId w:val="2"/>
        </w:numPr>
        <w:spacing w:after="80" w:line="276"/>
        <w:ind w:left="720" w:hanging="360"/>
        <w:jc w:val="both"/>
      </w:pPr>
      <w:r>
        <w:rPr>
          <w:rFonts w:ascii="Arial" w:hAnsi="Arial" w:eastAsia="Arial" w:cs="Arial"/>
          <w:b/>
          <w:bCs/>
          <w:color w:val="000000"/>
          <w:sz w:val="22"/>
          <w:szCs w:val="22"/>
        </w:rPr>
        <w:t xml:space="preserve">Integridad: </w:t>
      </w:r>
      <w:r>
        <w:rPr>
          <w:rFonts w:ascii="Arial" w:hAnsi="Arial" w:eastAsia="Arial" w:cs="Arial"/>
          <w:color w:val="000000"/>
          <w:sz w:val="22"/>
          <w:szCs w:val="22"/>
        </w:rPr>
        <w:t>las entidades protegen sus transiciones de estado, las operaciones compuestas son transaccionales y las reglas críticas se refuerzan con restricciones en la base de datos.</w:t>
      </w:r>
    </w:p>
    <w:p w14:paraId="1E2F6AF2">
      <w:pPr>
        <w:pStyle w:val="ListParagraph"/>
        <w:numPr>
          <w:ilvl w:val="0"/>
          <w:numId w:val="2"/>
        </w:numPr>
        <w:spacing w:after="80" w:line="276"/>
        <w:ind w:left="720" w:hanging="360"/>
        <w:jc w:val="both"/>
      </w:pPr>
      <w:r>
        <w:rPr>
          <w:rFonts w:ascii="Arial" w:hAnsi="Arial" w:eastAsia="Arial" w:cs="Arial"/>
          <w:b/>
          <w:bCs/>
          <w:color w:val="000000"/>
          <w:sz w:val="22"/>
          <w:szCs w:val="22"/>
        </w:rPr>
        <w:t xml:space="preserve">Trazabilidad: </w:t>
      </w:r>
      <w:r>
        <w:rPr>
          <w:rFonts w:ascii="Arial" w:hAnsi="Arial" w:eastAsia="Arial" w:cs="Arial"/>
          <w:color w:val="000000"/>
          <w:sz w:val="22"/>
          <w:szCs w:val="22"/>
        </w:rPr>
        <w:t>las tarifas conservan su historial, cada estadía guarda su tarifa y valor, y cada pago en caja registra al empleado que lo recibió.</w:t>
      </w:r>
    </w:p>
    <w:p w14:paraId="1DF42783">
      <w:pPr>
        <w:pStyle w:val="ListParagraph"/>
        <w:numPr>
          <w:ilvl w:val="0"/>
          <w:numId w:val="2"/>
        </w:numPr>
        <w:spacing w:after="80" w:line="276"/>
        <w:ind w:left="720" w:hanging="360"/>
        <w:jc w:val="both"/>
      </w:pPr>
      <w:r>
        <w:rPr>
          <w:rFonts w:ascii="Arial" w:hAnsi="Arial" w:eastAsia="Arial" w:cs="Arial"/>
          <w:b/>
          <w:bCs/>
          <w:color w:val="000000"/>
          <w:sz w:val="22"/>
          <w:szCs w:val="22"/>
        </w:rPr>
        <w:t xml:space="preserve">Escalabilidad funcional: </w:t>
      </w:r>
      <w:r>
        <w:rPr>
          <w:rFonts w:ascii="Arial" w:hAnsi="Arial" w:eastAsia="Arial" w:cs="Arial"/>
          <w:color w:val="000000"/>
          <w:sz w:val="22"/>
          <w:szCs w:val="22"/>
        </w:rPr>
        <w:t>el sistema puede crecer en tipos de vehículo, tarifas y reglas de cobro sin reescribirse. El volumen de datos de un parqueadero no representa un reto de escalabilidad de carga, por lo que el diseño se enfoca en la escalabilidad funcional.</w:t>
      </w:r>
    </w:p>
    <w:p w14:paraId="396F0E74">
      <w:pPr>
        <w:pStyle w:val="Heading1"/>
      </w:pPr>
      <w:r>
        <w:rPr>
          <w:rFonts w:ascii="Arial" w:hAnsi="Arial" w:eastAsia="Arial" w:cs="Arial"/>
          <w:b/>
          <w:bCs/>
          <w:color w:val="000000"/>
          <w:sz w:val="28"/>
          <w:szCs w:val="28"/>
        </w:rPr>
        <w:t>9. Alcance del prototipo</w:t>
      </w:r>
    </w:p>
    <w:p w14:paraId="18F38E78">
      <w:pPr>
        <w:spacing w:after="120" w:line="276"/>
        <w:jc w:val="both"/>
      </w:pPr>
      <w:r>
        <w:rPr>
          <w:rFonts w:ascii="Arial" w:hAnsi="Arial" w:eastAsia="Arial" w:cs="Arial"/>
          <w:color w:val="000000"/>
          <w:sz w:val="22"/>
          <w:szCs w:val="22"/>
        </w:rPr>
        <w:t>El prototipo se implementa en Java, sin frameworks, como una aplicación web con persistencia en PostgreSQL mediante JDBC, respetando la separación de capas definida en la sección 8. El diseño presentado en este documento modela la solución completa; el prototipo implementa las funcionalidades mínimas solicitadas:</w:t>
      </w:r>
    </w:p>
    <w:tbl>
      <w:tblPr>
        <w:tblW w:w="9360" w:type="dxa"/>
        <w:tblBorders>
          <w:top w:val="single" w:sz="4" w:color="auto"/>
          <w:left w:val="single" w:sz="4" w:color="auto"/>
          <w:bottom w:val="single" w:sz="4" w:color="auto"/>
          <w:right w:val="single" w:sz="4" w:color="auto"/>
          <w:insideH w:val="single" w:sz="4" w:color="auto"/>
          <w:insideV w:val="single" w:sz="4" w:color="auto"/>
        </w:tblBorders>
      </w:tblPr>
      <w:tblGrid>
        <w:gridCol w:w="4680"/>
        <w:gridCol w:w="4680"/>
      </w:tblGrid>
      <w:tr>
        <w:trPr>
          <w:tblHeader/>
        </w:trPr>
        <w:tc>
          <w:tcPr>
            <w:tcW w:w="4680" w:type="dxa"/>
            <w:tcBorders>
              <w:top w:val="single" w:sz="4" w:color="000000"/>
              <w:left w:val="single" w:sz="4" w:color="000000"/>
              <w:bottom w:val="single" w:sz="4" w:color="000000"/>
              <w:right w:val="single" w:sz="4" w:color="000000"/>
            </w:tcBorders>
            <w:tcMar>
              <w:top w:w="60" w:type="dxa"/>
              <w:left w:w="100" w:type="dxa"/>
              <w:bottom w:w="60" w:type="dxa"/>
              <w:right w:w="100" w:type="dxa"/>
            </w:tcMar>
            <w:vAlign w:val="center"/>
          </w:tcPr>
          <w:p w14:paraId="0C92C75A">
            <w:pPr>
              <w:spacing w:after="0" w:line="264"/>
            </w:pPr>
            <w:r>
              <w:rPr>
                <w:rFonts w:ascii="Arial" w:hAnsi="Arial" w:eastAsia="Arial" w:cs="Arial"/>
                <w:b/>
                <w:bCs/>
                <w:color w:val="000000"/>
                <w:sz w:val="22"/>
                <w:szCs w:val="22"/>
              </w:rPr>
              <w:t>Funcionalidad solicitada</w:t>
            </w:r>
          </w:p>
        </w:tc>
        <w:tc>
          <w:tcPr>
            <w:tcW w:w="4680" w:type="dxa"/>
            <w:tcBorders>
              <w:top w:val="single" w:sz="4" w:color="000000"/>
              <w:left w:val="single" w:sz="4" w:color="000000"/>
              <w:bottom w:val="single" w:sz="4" w:color="000000"/>
              <w:right w:val="single" w:sz="4" w:color="000000"/>
            </w:tcBorders>
            <w:tcMar>
              <w:top w:w="60" w:type="dxa"/>
              <w:left w:w="100" w:type="dxa"/>
              <w:bottom w:w="60" w:type="dxa"/>
              <w:right w:w="100" w:type="dxa"/>
            </w:tcMar>
            <w:vAlign w:val="center"/>
          </w:tcPr>
          <w:p w14:paraId="696F7DF9">
            <w:pPr>
              <w:spacing w:after="0" w:line="264"/>
            </w:pPr>
            <w:r>
              <w:rPr>
                <w:rFonts w:ascii="Arial" w:hAnsi="Arial" w:eastAsia="Arial" w:cs="Arial"/>
                <w:b/>
                <w:bCs/>
                <w:color w:val="000000"/>
                <w:sz w:val="22"/>
                <w:szCs w:val="22"/>
              </w:rPr>
              <w:t>Caso de uso</w:t>
            </w:r>
          </w:p>
        </w:tc>
      </w:tr>
      <w:tr>
        <w:trPr>
          <w:cantSplit/>
        </w:trPr>
        <w:tc>
          <w:tcPr>
            <w:tcW w:w="4680" w:type="dxa"/>
            <w:tcBorders>
              <w:top w:val="single" w:sz="4" w:color="000000"/>
              <w:left w:val="single" w:sz="4" w:color="000000"/>
              <w:bottom w:val="single" w:sz="4" w:color="000000"/>
              <w:right w:val="single" w:sz="4" w:color="000000"/>
            </w:tcBorders>
            <w:tcMar>
              <w:top w:w="60" w:type="dxa"/>
              <w:left w:w="100" w:type="dxa"/>
              <w:bottom w:w="60" w:type="dxa"/>
              <w:right w:w="100" w:type="dxa"/>
            </w:tcMar>
            <w:vAlign w:val="center"/>
          </w:tcPr>
          <w:p w14:paraId="31B49FA8">
            <w:pPr>
              <w:spacing w:after="0" w:line="264"/>
            </w:pPr>
            <w:r>
              <w:rPr>
                <w:rFonts w:ascii="Arial" w:hAnsi="Arial" w:eastAsia="Arial" w:cs="Arial"/>
                <w:color w:val="000000"/>
                <w:sz w:val="22"/>
                <w:szCs w:val="22"/>
              </w:rPr>
              <w:t>Registrar un vehículo</w:t>
            </w:r>
          </w:p>
        </w:tc>
        <w:tc>
          <w:tcPr>
            <w:tcW w:w="4680" w:type="dxa"/>
            <w:tcBorders>
              <w:top w:val="single" w:sz="4" w:color="000000"/>
              <w:left w:val="single" w:sz="4" w:color="000000"/>
              <w:bottom w:val="single" w:sz="4" w:color="000000"/>
              <w:right w:val="single" w:sz="4" w:color="000000"/>
            </w:tcBorders>
            <w:tcMar>
              <w:top w:w="60" w:type="dxa"/>
              <w:left w:w="100" w:type="dxa"/>
              <w:bottom w:w="60" w:type="dxa"/>
              <w:right w:w="100" w:type="dxa"/>
            </w:tcMar>
            <w:vAlign w:val="center"/>
          </w:tcPr>
          <w:p w14:paraId="58F197FF">
            <w:pPr>
              <w:spacing w:after="0" w:line="264"/>
            </w:pPr>
            <w:r>
              <w:rPr>
                <w:rFonts w:ascii="Arial" w:hAnsi="Arial" w:eastAsia="Arial" w:cs="Arial"/>
                <w:color w:val="000000"/>
                <w:sz w:val="22"/>
                <w:szCs w:val="22"/>
              </w:rPr>
              <w:t>CU-04 Registrar vehículo</w:t>
            </w:r>
          </w:p>
        </w:tc>
      </w:tr>
      <w:tr>
        <w:trPr>
          <w:cantSplit/>
        </w:trPr>
        <w:tc>
          <w:tcPr>
            <w:tcW w:w="4680" w:type="dxa"/>
            <w:tcBorders>
              <w:top w:val="single" w:sz="4" w:color="000000"/>
              <w:left w:val="single" w:sz="4" w:color="000000"/>
              <w:bottom w:val="single" w:sz="4" w:color="000000"/>
              <w:right w:val="single" w:sz="4" w:color="000000"/>
            </w:tcBorders>
            <w:tcMar>
              <w:top w:w="60" w:type="dxa"/>
              <w:left w:w="100" w:type="dxa"/>
              <w:bottom w:w="60" w:type="dxa"/>
              <w:right w:w="100" w:type="dxa"/>
            </w:tcMar>
            <w:vAlign w:val="center"/>
          </w:tcPr>
          <w:p w14:paraId="04B246DB">
            <w:pPr>
              <w:spacing w:after="0" w:line="264"/>
            </w:pPr>
            <w:r>
              <w:rPr>
                <w:rFonts w:ascii="Arial" w:hAnsi="Arial" w:eastAsia="Arial" w:cs="Arial"/>
                <w:color w:val="000000"/>
                <w:sz w:val="22"/>
                <w:szCs w:val="22"/>
              </w:rPr>
              <w:t>Listar vehículos</w:t>
            </w:r>
          </w:p>
        </w:tc>
        <w:tc>
          <w:tcPr>
            <w:tcW w:w="4680" w:type="dxa"/>
            <w:tcBorders>
              <w:top w:val="single" w:sz="4" w:color="000000"/>
              <w:left w:val="single" w:sz="4" w:color="000000"/>
              <w:bottom w:val="single" w:sz="4" w:color="000000"/>
              <w:right w:val="single" w:sz="4" w:color="000000"/>
            </w:tcBorders>
            <w:tcMar>
              <w:top w:w="60" w:type="dxa"/>
              <w:left w:w="100" w:type="dxa"/>
              <w:bottom w:w="60" w:type="dxa"/>
              <w:right w:w="100" w:type="dxa"/>
            </w:tcMar>
            <w:vAlign w:val="center"/>
          </w:tcPr>
          <w:p w14:paraId="3EB21DE8">
            <w:pPr>
              <w:spacing w:after="0" w:line="264"/>
            </w:pPr>
            <w:r>
              <w:rPr>
                <w:rFonts w:ascii="Arial" w:hAnsi="Arial" w:eastAsia="Arial" w:cs="Arial"/>
                <w:color w:val="000000"/>
                <w:sz w:val="22"/>
                <w:szCs w:val="22"/>
              </w:rPr>
              <w:t>CU-07 Consultar vehículos</w:t>
            </w:r>
          </w:p>
        </w:tc>
      </w:tr>
      <w:tr>
        <w:trPr>
          <w:cantSplit/>
        </w:trPr>
        <w:tc>
          <w:tcPr>
            <w:tcW w:w="4680" w:type="dxa"/>
            <w:tcBorders>
              <w:top w:val="single" w:sz="4" w:color="000000"/>
              <w:left w:val="single" w:sz="4" w:color="000000"/>
              <w:bottom w:val="single" w:sz="4" w:color="000000"/>
              <w:right w:val="single" w:sz="4" w:color="000000"/>
            </w:tcBorders>
            <w:tcMar>
              <w:top w:w="60" w:type="dxa"/>
              <w:left w:w="100" w:type="dxa"/>
              <w:bottom w:w="60" w:type="dxa"/>
              <w:right w:w="100" w:type="dxa"/>
            </w:tcMar>
            <w:vAlign w:val="center"/>
          </w:tcPr>
          <w:p w14:paraId="16C22687">
            <w:pPr>
              <w:spacing w:after="0" w:line="264"/>
            </w:pPr>
            <w:r>
              <w:rPr>
                <w:rFonts w:ascii="Arial" w:hAnsi="Arial" w:eastAsia="Arial" w:cs="Arial"/>
                <w:color w:val="000000"/>
                <w:sz w:val="22"/>
                <w:szCs w:val="22"/>
              </w:rPr>
              <w:t>Registrar su ingreso</w:t>
            </w:r>
          </w:p>
        </w:tc>
        <w:tc>
          <w:tcPr>
            <w:tcW w:w="4680" w:type="dxa"/>
            <w:tcBorders>
              <w:top w:val="single" w:sz="4" w:color="000000"/>
              <w:left w:val="single" w:sz="4" w:color="000000"/>
              <w:bottom w:val="single" w:sz="4" w:color="000000"/>
              <w:right w:val="single" w:sz="4" w:color="000000"/>
            </w:tcBorders>
            <w:tcMar>
              <w:top w:w="60" w:type="dxa"/>
              <w:left w:w="100" w:type="dxa"/>
              <w:bottom w:w="60" w:type="dxa"/>
              <w:right w:w="100" w:type="dxa"/>
            </w:tcMar>
            <w:vAlign w:val="center"/>
          </w:tcPr>
          <w:p w14:paraId="0B523D46">
            <w:pPr>
              <w:spacing w:after="0" w:line="264"/>
            </w:pPr>
            <w:r>
              <w:rPr>
                <w:rFonts w:ascii="Arial" w:hAnsi="Arial" w:eastAsia="Arial" w:cs="Arial"/>
                <w:color w:val="000000"/>
                <w:sz w:val="22"/>
                <w:szCs w:val="22"/>
              </w:rPr>
              <w:t>CU-03 Registrar ingreso</w:t>
            </w:r>
          </w:p>
        </w:tc>
      </w:tr>
      <w:tr>
        <w:trPr>
          <w:cantSplit/>
        </w:trPr>
        <w:tc>
          <w:tcPr>
            <w:tcW w:w="4680" w:type="dxa"/>
            <w:tcBorders>
              <w:top w:val="single" w:sz="4" w:color="000000"/>
              <w:left w:val="single" w:sz="4" w:color="000000"/>
              <w:bottom w:val="single" w:sz="4" w:color="000000"/>
              <w:right w:val="single" w:sz="4" w:color="000000"/>
            </w:tcBorders>
            <w:tcMar>
              <w:top w:w="60" w:type="dxa"/>
              <w:left w:w="100" w:type="dxa"/>
              <w:bottom w:w="60" w:type="dxa"/>
              <w:right w:w="100" w:type="dxa"/>
            </w:tcMar>
            <w:vAlign w:val="center"/>
          </w:tcPr>
          <w:p w14:paraId="0078793B">
            <w:pPr>
              <w:spacing w:after="0" w:line="264"/>
            </w:pPr>
            <w:r>
              <w:rPr>
                <w:rFonts w:ascii="Arial" w:hAnsi="Arial" w:eastAsia="Arial" w:cs="Arial"/>
                <w:color w:val="000000"/>
                <w:sz w:val="22"/>
                <w:szCs w:val="22"/>
              </w:rPr>
              <w:t>Registrar salida</w:t>
            </w:r>
          </w:p>
        </w:tc>
        <w:tc>
          <w:tcPr>
            <w:tcW w:w="4680" w:type="dxa"/>
            <w:tcBorders>
              <w:top w:val="single" w:sz="4" w:color="000000"/>
              <w:left w:val="single" w:sz="4" w:color="000000"/>
              <w:bottom w:val="single" w:sz="4" w:color="000000"/>
              <w:right w:val="single" w:sz="4" w:color="000000"/>
            </w:tcBorders>
            <w:tcMar>
              <w:top w:w="60" w:type="dxa"/>
              <w:left w:w="100" w:type="dxa"/>
              <w:bottom w:w="60" w:type="dxa"/>
              <w:right w:w="100" w:type="dxa"/>
            </w:tcMar>
            <w:vAlign w:val="center"/>
          </w:tcPr>
          <w:p w14:paraId="6B5CEAC0">
            <w:pPr>
              <w:spacing w:after="0" w:line="264"/>
            </w:pPr>
            <w:r>
              <w:rPr>
                <w:rFonts w:ascii="Arial" w:hAnsi="Arial" w:eastAsia="Arial" w:cs="Arial"/>
                <w:color w:val="000000"/>
                <w:sz w:val="22"/>
                <w:szCs w:val="22"/>
              </w:rPr>
              <w:t>CU-05 Registrar salida</w:t>
            </w:r>
          </w:p>
        </w:tc>
      </w:tr>
    </w:tbl>
    <w:p w14:paraId="05A140DD">
      <w:pPr>
        <w:spacing w:after="120"/>
      </w:pPr>
    </w:p>
    <w:p w14:paraId="5978C06E">
      <w:pPr>
        <w:spacing w:after="120" w:line="276"/>
        <w:jc w:val="both"/>
      </w:pPr>
      <w:r>
        <w:rPr>
          <w:rFonts w:ascii="Arial" w:hAnsi="Arial" w:eastAsia="Arial" w:cs="Arial"/>
          <w:color w:val="000000"/>
          <w:sz w:val="22"/>
          <w:szCs w:val="22"/>
        </w:rPr>
        <w:t>Los tipos de vehículo, las tarifas iniciales y dos usuarios de demostración (uno con rol Administrador y otro con rol Personal) se cargan mediante el script de base de datos. La gestión de tarifas, tipos de vehículo y usuarios, el pago en línea y el reporte de ingresos quedan definidos en el diseño, sin implementarse en el prototipo.</w:t>
      </w:r>
    </w:p>
    <w:p w14:paraId="7E953F43">
      <w:pPr>
        <w:spacing w:after="120" w:line="276"/>
        <w:jc w:val="both"/>
      </w:pPr>
      <w:r>
        <w:rPr>
          <w:rFonts w:ascii="Arial" w:hAnsi="Arial" w:eastAsia="Arial" w:cs="Arial"/>
          <w:color w:val="000000"/>
          <w:sz w:val="22"/>
          <w:szCs w:val="22"/>
        </w:rPr>
        <w:t>Dado que, por RN-08, un vehículo con una estadía en Pendiente de pago no puede volver a ingresar, el prototipo puede incluir una versión mínima de CU-06 (Registrar pago en caja) para cerrar las estadías y demostrar ingresos sucesivos de un mismo vehículo.</w:t>
      </w:r>
    </w:p>
    <w:p w14:paraId="2A7F371A">
      <w:pPr>
        <w:spacing w:after="120" w:line="276"/>
        <w:jc w:val="both"/>
      </w:pPr>
      <w:r>
        <w:rPr>
          <w:rFonts w:ascii="Arial" w:hAnsi="Arial" w:eastAsia="Arial" w:cs="Arial"/>
          <w:color w:val="000000"/>
          <w:sz w:val="22"/>
          <w:szCs w:val="22"/>
        </w:rPr>
        <w:t>Como el inicio de sesión no forma parte del prototipo, el pago en caja se registra a nombre del usuario de demostración 'personal', definido en la configuración de la aplicación. De esta forma se respetan RN-18 y la restricción correspondiente de la base de datos. En la solución completa, el empleado se obtiene de la sesión.</w:t>
      </w:r>
    </w:p>
    <w:p w14:paraId="19F26699">
      <w:pPr>
        <w:pStyle w:val="Heading2"/>
      </w:pPr>
      <w:r>
        <w:rPr>
          <w:rFonts w:ascii="Arial" w:hAnsi="Arial" w:eastAsia="Arial" w:cs="Arial"/>
          <w:b/>
          <w:bCs/>
          <w:color w:val="000000"/>
          <w:sz w:val="24"/>
          <w:szCs w:val="24"/>
        </w:rPr>
        <w:t>9.1 Entregables</w:t>
      </w:r>
    </w:p>
    <w:p w14:paraId="728B8B81">
      <w:pPr>
        <w:pStyle w:val="ListParagraph"/>
        <w:numPr>
          <w:ilvl w:val="0"/>
          <w:numId w:val="2"/>
        </w:numPr>
        <w:spacing w:after="80" w:line="276"/>
        <w:ind w:left="720" w:hanging="360"/>
        <w:jc w:val="both"/>
      </w:pPr>
      <w:r>
        <w:rPr>
          <w:rFonts w:ascii="Arial" w:hAnsi="Arial" w:eastAsia="Arial" w:cs="Arial"/>
          <w:color w:val="000000"/>
          <w:sz w:val="22"/>
          <w:szCs w:val="22"/>
        </w:rPr>
        <w:t>Documento de diseño (este documento).</w:t>
      </w:r>
    </w:p>
    <w:p w14:paraId="3DF7A0AC">
      <w:pPr>
        <w:pStyle w:val="ListParagraph"/>
        <w:numPr>
          <w:ilvl w:val="0"/>
          <w:numId w:val="2"/>
        </w:numPr>
        <w:spacing w:after="80" w:line="276"/>
        <w:ind w:left="720" w:hanging="360"/>
        <w:jc w:val="both"/>
      </w:pPr>
      <w:r>
        <w:rPr>
          <w:rFonts w:ascii="Arial" w:hAnsi="Arial" w:eastAsia="Arial" w:cs="Arial"/>
          <w:color w:val="000000"/>
          <w:sz w:val="22"/>
          <w:szCs w:val="22"/>
        </w:rPr>
        <w:t>Script de base de datos en PostgreSQL.</w:t>
      </w:r>
    </w:p>
    <w:p w14:paraId="2C9504C7">
      <w:pPr>
        <w:pStyle w:val="ListParagraph"/>
        <w:numPr>
          <w:ilvl w:val="0"/>
          <w:numId w:val="2"/>
        </w:numPr>
        <w:spacing w:after="80" w:line="276"/>
        <w:ind w:left="720" w:hanging="360"/>
        <w:jc w:val="both"/>
      </w:pPr>
      <w:r>
        <w:rPr>
          <w:rFonts w:ascii="Arial" w:hAnsi="Arial" w:eastAsia="Arial" w:cs="Arial"/>
          <w:color w:val="000000"/>
          <w:sz w:val="22"/>
          <w:szCs w:val="22"/>
        </w:rPr>
        <w:t>Archivo .zip con el proyecto del prototipo.</w:t>
      </w:r>
    </w:p>
    <w:p w14:paraId="0493882B">
      <w:pPr>
        <w:pStyle w:val="Heading1"/>
      </w:pPr>
      <w:r>
        <w:rPr>
          <w:rFonts w:ascii="Arial" w:hAnsi="Arial" w:eastAsia="Arial" w:cs="Arial"/>
          <w:b/>
          <w:bCs/>
          <w:color w:val="000000"/>
          <w:sz w:val="28"/>
          <w:szCs w:val="28"/>
        </w:rPr>
        <w:t>10. Conclusiones</w:t>
      </w:r>
    </w:p>
    <w:p w14:paraId="47FEFEDF">
      <w:pPr>
        <w:spacing w:after="120" w:line="276"/>
        <w:jc w:val="both"/>
      </w:pPr>
      <w:r>
        <w:rPr>
          <w:rFonts w:ascii="Arial" w:hAnsi="Arial" w:eastAsia="Arial" w:cs="Arial"/>
          <w:color w:val="000000"/>
          <w:sz w:val="22"/>
          <w:szCs w:val="22"/>
        </w:rPr>
        <w:t>El diseño responde a la situación planteada: el sistema gestiona el ingreso, la permanencia y el pago de los vehículos, y se adapta a cambios en las tarifas y a la incorporación de nuevos tipos de vehículo sin modificar el software, porque ambos se modelan como datos con historial.</w:t>
      </w:r>
    </w:p>
    <w:p w14:paraId="0A98BE93">
      <w:pPr>
        <w:spacing w:after="120" w:line="276"/>
        <w:jc w:val="both"/>
      </w:pPr>
      <w:r>
        <w:rPr>
          <w:rFonts w:ascii="Arial" w:hAnsi="Arial" w:eastAsia="Arial" w:cs="Arial"/>
          <w:color w:val="000000"/>
          <w:sz w:val="22"/>
          <w:szCs w:val="22"/>
        </w:rPr>
        <w:t>La arquitectura por capas separa con claridad la interacción con el usuario, la orquestación de los casos de uso, las reglas del dominio y el acceso a los recursos externos. Las decisiones de diseño (dominio rico, patrón Strategy, DTOs con mappers, repositorios e interfaces para los recursos externos y transacciones por caso de uso) buscan que cada cambio futuro afecte una sola parte del sistema.</w:t>
      </w:r>
    </w:p>
    <w:sectPr>
      <w:footerReference w:type="default" r:id="rId9"/>
      <w:pgSz w:w="12240" w:h="15840"/>
      <w:pgMar w:top="1440" w:right="1440" w:bottom="1440" w:left="1440" w:header="708" w:footer="708" w:gutter="0"/>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ne="http://schemas.microsoft.com/office/word/2006/wordml" xmlns:wpg="http://schemas.microsoft.com/office/word/2010/wordprocessingGroup" xmlns:wps="http://schemas.microsoft.com/office/word/2010/wordprocessingShape">
  <w:p>
    <w:pPr>
      <w:jc w:val="center"/>
    </w:pPr>
    <w:r>
      <w:rPr>
        <w:sz w:val="20"/>
        <w:szCs w:val="20"/>
      </w:rPr>
      <w:fldChar w:fldCharType="begin"/>
    </w:r>
    <w:r>
      <w:rPr>
        <w:sz w:val="20"/>
        <w:szCs w:val="20"/>
      </w:rPr>
      <w:instrText>PAGE</w:instrText>
    </w:r>
    <w:r>
      <w:rPr>
        <w:sz w:val="20"/>
        <w:szCs w:val="20"/>
      </w:rPr>
      <w:fldChar w:fldCharType="separate"/>
    </w:r>
    <w:r>
      <w:rPr>
        <w:sz w:val="20"/>
        <w:szCs w:val="20"/>
      </w:rPr>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ne="http://schemas.microsoft.com/office/word/2006/wordml" xmlns:wpg="http://schemas.microsoft.com/office/word/2010/wordprocessingGroup" xmlns:wps="http://schemas.microsoft.com/office/word/2010/wordprocessingShape">
  <w:p>
    <w:pPr>
      <w:jc w:val="center"/>
    </w:pPr>
    <w:r>
      <w:rPr>
        <w:sz w:val="20"/>
        <w:szCs w:val="20"/>
      </w:rPr>
      <w:fldChar w:fldCharType="begin"/>
    </w:r>
    <w:r>
      <w:rPr>
        <w:sz w:val="20"/>
        <w:szCs w:val="20"/>
      </w:rPr>
      <w:instrText>PAGE</w:instrText>
    </w:r>
    <w:r>
      <w:rPr>
        <w:sz w:val="20"/>
        <w:szCs w:val="20"/>
      </w:rPr>
      <w:fldChar w:fldCharType="separate"/>
    </w:r>
    <w:r>
      <w:rPr>
        <w:sz w:val="20"/>
        <w:szCs w:val="20"/>
      </w:rPr>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ne="http://schemas.microsoft.com/office/word/2006/wordml" xmlns:wpg="http://schemas.microsoft.com/office/word/2010/wordprocessingGroup" xmlns:wps="http://schemas.microsoft.com/office/word/2010/wordprocessingShape">
  <w:p>
    <w:pPr>
      <w:jc w:val="center"/>
    </w:pPr>
    <w:r>
      <w:rPr>
        <w:sz w:val="20"/>
        <w:szCs w:val="20"/>
      </w:rPr>
      <w:fldChar w:fldCharType="begin"/>
    </w:r>
    <w:r>
      <w:rPr>
        <w:sz w:val="20"/>
        <w:szCs w:val="20"/>
      </w:rPr>
      <w:instrText>PAGE</w:instrText>
    </w:r>
    <w:r>
      <w:rPr>
        <w:sz w:val="20"/>
        <w:szCs w:val="20"/>
      </w:rPr>
      <w:fldChar w:fldCharType="separate"/>
    </w:r>
    <w:r>
      <w:rPr>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00000"/>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80" w:before="360"/>
      <w:outlineLvl w:val="0"/>
    </w:pPr>
    <w:rPr>
      <w:rFonts w:ascii="Arial" w:cs="Arial" w:eastAsia="Arial" w:hAnsi="Arial"/>
      <w:b/>
      <w:bCs/>
      <w:color w:val="000000"/>
      <w:sz w:val="28"/>
      <w:szCs w:val="28"/>
    </w:rPr>
  </w:style>
  <w:style w:type="paragraph" w:styleId="Heading2">
    <w:name w:val="Heading 2"/>
    <w:basedOn w:val="Normal"/>
    <w:next w:val="Normal"/>
    <w:qFormat/>
    <w:pPr>
      <w:keepNext/>
      <w:spacing w:after="120" w:before="240"/>
      <w:outlineLvl w:val="1"/>
    </w:pPr>
    <w:rPr>
      <w:rFonts w:ascii="Arial" w:cs="Arial" w:eastAsia="Arial" w:hAnsi="Arial"/>
      <w:b/>
      <w:bCs/>
      <w:color w:val="000000"/>
      <w:sz w:val="24"/>
      <w:szCs w:val="24"/>
    </w:rPr>
  </w:style>
  <w:style w:type="paragraph" w:styleId="Heading3">
    <w:name w:val="Heading 3"/>
    <w:basedOn w:val="Normal"/>
    <w:next w:val="Normal"/>
    <w:qFormat/>
    <w:pPr>
      <w:keepNext/>
      <w:spacing w:after="100" w:before="200"/>
      <w:outlineLvl w:val="2"/>
    </w:pPr>
    <w:rPr>
      <w:rFonts w:ascii="Arial" w:cs="Arial" w:eastAsia="Arial" w:hAnsi="Arial"/>
      <w:b/>
      <w:bCs/>
      <w:color w:val="000000"/>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oter" Target="footer3.xml"/><Relationship Id="rId10" Type="http://schemas.openxmlformats.org/officeDocument/2006/relationships/image" Target="media/f0606658a8686aa0f554859cf09a0e8bbb21e1a1.png"/><Relationship Id="rId11" Type="http://schemas.openxmlformats.org/officeDocument/2006/relationships/image" Target="media/b642086efb2baa2aa6049dc705194fc30fa94240.png"/><Relationship Id="rId12" Type="http://schemas.openxmlformats.org/officeDocument/2006/relationships/image" Target="media/168625dd7e8ad37fdecfdb73ed6b3c96af967928.png"/><Relationship Id="rId13" Type="http://schemas.openxmlformats.org/officeDocument/2006/relationships/image" Target="media/f6f3e46fdc2537ab2e3ad7263d1073b7f88707c4.png"/><Relationship Id="rId14" Type="http://schemas.openxmlformats.org/officeDocument/2006/relationships/fontTable" Target="fontTable.xml"/><Relationship Id="rId15" Type="http://schemas.openxmlformats.org/officeDocument/2006/relationships/image" Target="media/image1.png"/><Relationship Id="rId16" Type="http://schemas.openxmlformats.org/officeDocument/2006/relationships/image" Target="media/image2.png"/><Relationship Id="rId17" Type="http://schemas.openxmlformats.org/officeDocument/2006/relationships/image" Target="media/image3.png"/><Relationship Id="rId18" Type="http://schemas.openxmlformats.org/officeDocument/2006/relationships/image" Target="media/image4.png"/></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2026-09-25T03:21:37.092Z</dcterms:created>
  <dcterms:modified xsi:type="dcterms:W3CDTF">2026-09-25T03:42:24.698Z</dcterms:modified>
</cp:coreProperties>
</file>

<file path=docProps/custom.xml><?xml version="1.0" encoding="utf-8"?>
<Properties xmlns="http://schemas.openxmlformats.org/officeDocument/2006/custom-properties" xmlns:vt="http://schemas.openxmlformats.org/officeDocument/2006/docPropsVTypes"/>
</file>