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67db9de8c5d778ebe167e4ba7c08a56bb22655d"/>
    <w:p>
      <w:pPr>
        <w:pStyle w:val="Heading1"/>
      </w:pPr>
      <w:r>
        <w:rPr>
          <w:b/>
          <w:bCs/>
        </w:rPr>
        <w:t xml:space="preserve">4.5. Implementación en el prototipo de laboratorio</w:t>
      </w:r>
    </w:p>
    <w:p>
      <w:pPr>
        <w:pStyle w:val="FirstParagraph"/>
      </w:pPr>
      <w:r>
        <w:t xml:space="preserve">El presente trabajo incluyó una etapa de validación correspondiente a la implementación física del algoritmo de control sobre un prototipo de escala de laboratorio. Las condiciones del entorno experimental determinaron el uso de un tanque de polietileno de alta densidad de</w:t>
      </w:r>
      <w:r>
        <w:t xml:space="preserve"> </w:t>
      </w:r>
      <m:oMath>
        <m:r>
          <m:t>0.71</m:t>
        </m:r>
        <m:r>
          <m:t> </m:t>
        </m:r>
        <m:sSup>
          <m:e>
            <m:r>
              <m:rPr>
                <m:nor/>
                <m:sty m:val="p"/>
              </m:rPr>
              <m:t>ft</m:t>
            </m:r>
          </m:e>
          <m:sup>
            <m:r>
              <m:t>3</m:t>
            </m:r>
          </m:sup>
        </m:sSup>
      </m:oMath>
      <w:r>
        <w:t xml:space="preserve"> </w:t>
      </w:r>
      <w:r>
        <w:t xml:space="preserve">(aproximadamente 20 litros), una electroválvula solenoide de paso nominal de ¼” con coeficiente de flujo</w:t>
      </w:r>
      <w:r>
        <w:t xml:space="preserve"> </w:t>
      </w:r>
      <m:oMath>
        <m:sSub>
          <m:e>
            <m:r>
              <m:t>C</m:t>
            </m:r>
          </m:e>
          <m:sub>
            <m:r>
              <m:t>V</m:t>
            </m:r>
            <m:r>
              <m:t>L</m:t>
            </m:r>
          </m:sub>
        </m:sSub>
        <m:r>
          <m:rPr>
            <m:sty m:val="p"/>
          </m:rPr>
          <m:t>=</m:t>
        </m:r>
        <m:r>
          <m:t>0.20</m:t>
        </m:r>
        <m:r>
          <m:t> </m:t>
        </m:r>
        <m:r>
          <m:rPr>
            <m:nor/>
            <m:sty m:val="p"/>
          </m:rPr>
          <m:t>gpm</m:t>
        </m:r>
        <m:r>
          <m:rPr>
            <m:sty m:val="p"/>
          </m:rPr>
          <m:t>/</m:t>
        </m:r>
        <m:rad>
          <m:radPr>
            <m:degHide m:val="on"/>
          </m:radPr>
          <m:deg/>
          <m:e>
            <m:r>
              <m:rPr>
                <m:nor/>
                <m:sty m:val="p"/>
              </m:rPr>
              <m:t>psi</m:t>
            </m:r>
          </m:e>
        </m:rad>
      </m:oMath>
      <w:r>
        <w:t xml:space="preserve">, un sensor de temperatura digital DS18B20 y un microcontrolador ESP32 ejecutando el algoritmo de Predictor Smith en tiempo discreto.</w:t>
      </w:r>
    </w:p>
    <w:p>
      <w:pPr>
        <w:pStyle w:val="BodyText"/>
      </w:pPr>
      <w:r>
        <w:t xml:space="preserve">A diferencia del sistema de referencia presentado en la Tabla 3.1, el prototipo opera con agua caliente a</w:t>
      </w:r>
      <w:r>
        <w:t xml:space="preserve"> </w:t>
      </w:r>
      <m:oMath>
        <m:sSub>
          <m:e>
            <m:r>
              <m:t>T</m:t>
            </m:r>
          </m:e>
          <m:sub>
            <m:r>
              <m:t>1</m:t>
            </m:r>
          </m:sub>
        </m:sSub>
        <m:r>
          <m:rPr>
            <m:sty m:val="p"/>
          </m:rPr>
          <m:t>=</m:t>
        </m:r>
        <m:r>
          <m:t>110</m:t>
        </m:r>
        <m:r>
          <m:t> </m:t>
        </m:r>
        <m:r>
          <m:rPr>
            <m:sty m:val="p"/>
          </m:rPr>
          <m:t>°</m:t>
        </m:r>
        <m:r>
          <m:t>F</m:t>
        </m:r>
      </m:oMath>
      <w:r>
        <w:t xml:space="preserve"> </w:t>
      </w:r>
      <w:r>
        <w:t xml:space="preserve">y agua fría a</w:t>
      </w:r>
      <w:r>
        <w:t xml:space="preserve"> </w:t>
      </w:r>
      <m:oMath>
        <m:sSub>
          <m:e>
            <m:r>
              <m:t>T</m:t>
            </m:r>
          </m:e>
          <m:sub>
            <m:r>
              <m:t>2</m:t>
            </m:r>
          </m:sub>
        </m:sSub>
        <m:r>
          <m:rPr>
            <m:sty m:val="p"/>
          </m:rPr>
          <m:t>=</m:t>
        </m:r>
        <m:r>
          <m:t>50</m:t>
        </m:r>
        <m:r>
          <m:t> </m:t>
        </m:r>
        <m:r>
          <m:rPr>
            <m:sty m:val="p"/>
          </m:rPr>
          <m:t>°</m:t>
        </m:r>
        <m:r>
          <m:t>F</m:t>
        </m:r>
      </m:oMath>
      <w:r>
        <w:t xml:space="preserve">. La temperatura de referencia de operación es</w:t>
      </w:r>
      <w:r>
        <w:t xml:space="preserve"> </w:t>
      </w:r>
      <m:oMath>
        <m:sSub>
          <m:e>
            <m:r>
              <m:t>T</m:t>
            </m:r>
          </m:e>
          <m:sub>
            <m:r>
              <m:t>S</m:t>
            </m:r>
            <m:r>
              <m:t>P</m:t>
            </m:r>
          </m:sub>
        </m:sSub>
        <m:r>
          <m:rPr>
            <m:sty m:val="p"/>
          </m:rPr>
          <m:t>=</m:t>
        </m:r>
        <m:r>
          <m:t>90</m:t>
        </m:r>
        <m:r>
          <m:t> </m:t>
        </m:r>
        <m:r>
          <m:rPr>
            <m:sty m:val="p"/>
          </m:rPr>
          <m:t>°</m:t>
        </m:r>
        <m:r>
          <m:t>F</m:t>
        </m:r>
      </m:oMath>
      <w:r>
        <w:t xml:space="preserve">. La Tabla 4.2 reúne los parámetros físicos del prototipo de laboratorio.</w:t>
      </w:r>
    </w:p>
    <w:p>
      <w:pPr>
        <w:pStyle w:val="BodyText"/>
      </w:pPr>
      <w:r>
        <w:rPr>
          <w:b/>
          <w:bCs/>
        </w:rPr>
        <w:t xml:space="preserve">Tabla 4.2.</w:t>
      </w:r>
      <w:r>
        <w:t xml:space="preserve"> </w:t>
      </w:r>
      <w:r>
        <w:t xml:space="preserve">Parámetros del prototipo de laboratorio implementado.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Variable</w:t>
            </w:r>
          </w:p>
        </w:tc>
        <w:tc>
          <w:tcPr/>
          <w:p>
            <w:pPr>
              <w:pStyle w:val="Compact"/>
              <w:jc w:val="left"/>
            </w:pPr>
            <w:r>
              <w:rPr>
                <w:b/>
                <w:bCs/>
              </w:rPr>
              <w:t xml:space="preserve">Descripción</w:t>
            </w:r>
          </w:p>
        </w:tc>
        <w:tc>
          <w:tcPr/>
          <w:p>
            <w:pPr>
              <w:pStyle w:val="Compact"/>
              <w:jc w:val="left"/>
            </w:pPr>
            <w:r>
              <w:rPr>
                <w:b/>
                <w:bCs/>
              </w:rPr>
              <w:t xml:space="preserve">Valor</w:t>
            </w:r>
          </w:p>
        </w:tc>
      </w:tr>
      <w:tr>
        <w:tc>
          <w:tcPr/>
          <w:p>
            <w:pPr>
              <w:pStyle w:val="Compact"/>
              <w:jc w:val="left"/>
            </w:pPr>
            <m:oMath>
              <m:r>
                <m:t>V</m:t>
              </m:r>
            </m:oMath>
          </w:p>
        </w:tc>
        <w:tc>
          <w:tcPr/>
          <w:p>
            <w:pPr>
              <w:pStyle w:val="Compact"/>
              <w:jc w:val="left"/>
            </w:pPr>
            <w:r>
              <w:t xml:space="preserve">Volumen del tanque</w:t>
            </w:r>
          </w:p>
        </w:tc>
        <w:tc>
          <w:tcPr/>
          <w:p>
            <w:pPr>
              <w:pStyle w:val="Compact"/>
              <w:jc w:val="left"/>
            </w:pPr>
            <m:oMath>
              <m:r>
                <m:t>0.71</m:t>
              </m:r>
              <m:r>
                <m:t> </m:t>
              </m:r>
              <m:sSup>
                <m:e>
                  <m:r>
                    <m:rPr>
                      <m:nor/>
                      <m:sty m:val="p"/>
                    </m:rPr>
                    <m:t>ft</m:t>
                  </m:r>
                </m:e>
                <m:sup>
                  <m:r>
                    <m:t>3</m:t>
                  </m:r>
                </m:sup>
              </m:sSup>
              <m:r>
                <m:t> </m:t>
              </m:r>
              <m:d>
                <m:dPr>
                  <m:begChr m:val="("/>
                  <m:endChr m:val=")"/>
                  <m:sepChr m:val=""/>
                  <m:grow/>
                </m:dPr>
                <m:e>
                  <m:r>
                    <m:rPr>
                      <m:sty m:val="p"/>
                    </m:rPr>
                    <m:t>≈</m:t>
                  </m:r>
                  <m:r>
                    <m:t>20</m:t>
                  </m:r>
                  <m:r>
                    <m:t> </m:t>
                  </m:r>
                  <m:r>
                    <m:rPr>
                      <m:nor/>
                      <m:sty m:val="p"/>
                    </m:rPr>
                    <m:t>L</m:t>
                  </m:r>
                </m:e>
              </m:d>
            </m:oMath>
          </w:p>
        </w:tc>
      </w:tr>
      <w:tr>
        <w:tc>
          <w:tcPr/>
          <w:p>
            <w:pPr>
              <w:pStyle w:val="Compact"/>
              <w:jc w:val="left"/>
            </w:pPr>
            <m:oMath>
              <m:sSub>
                <m:e>
                  <m:r>
                    <m:t>T</m:t>
                  </m:r>
                </m:e>
                <m:sub>
                  <m:r>
                    <m:t>1</m:t>
                  </m:r>
                </m:sub>
              </m:sSub>
            </m:oMath>
          </w:p>
        </w:tc>
        <w:tc>
          <w:tcPr/>
          <w:p>
            <w:pPr>
              <w:pStyle w:val="Compact"/>
              <w:jc w:val="left"/>
            </w:pPr>
            <w:r>
              <w:t xml:space="preserve">Temperatura del fluido caliente</w:t>
            </w:r>
          </w:p>
        </w:tc>
        <w:tc>
          <w:tcPr/>
          <w:p>
            <w:pPr>
              <w:pStyle w:val="Compact"/>
              <w:jc w:val="left"/>
            </w:pPr>
            <m:oMath>
              <m:r>
                <m:t>110</m:t>
              </m:r>
              <m:r>
                <m:t> </m:t>
              </m:r>
              <m:r>
                <m:rPr>
                  <m:sty m:val="p"/>
                </m:rPr>
                <m:t>°</m:t>
              </m:r>
              <m:r>
                <m:t>F</m:t>
              </m:r>
            </m:oMath>
          </w:p>
        </w:tc>
      </w:tr>
      <w:tr>
        <w:tc>
          <w:tcPr/>
          <w:p>
            <w:pPr>
              <w:pStyle w:val="Compact"/>
              <w:jc w:val="left"/>
            </w:pPr>
            <m:oMath>
              <m:sSub>
                <m:e>
                  <m:r>
                    <m:t>T</m:t>
                  </m:r>
                </m:e>
                <m:sub>
                  <m:r>
                    <m:t>2</m:t>
                  </m:r>
                </m:sub>
              </m:sSub>
            </m:oMath>
          </w:p>
        </w:tc>
        <w:tc>
          <w:tcPr/>
          <w:p>
            <w:pPr>
              <w:pStyle w:val="Compact"/>
              <w:jc w:val="left"/>
            </w:pPr>
            <w:r>
              <w:t xml:space="preserve">Temperatura del fluido frío</w:t>
            </w:r>
          </w:p>
        </w:tc>
        <w:tc>
          <w:tcPr/>
          <w:p>
            <w:pPr>
              <w:pStyle w:val="Compact"/>
              <w:jc w:val="left"/>
            </w:pPr>
            <m:oMath>
              <m:r>
                <m:t>50</m:t>
              </m:r>
              <m:r>
                <m:t> </m:t>
              </m:r>
              <m:r>
                <m:rPr>
                  <m:sty m:val="p"/>
                </m:rPr>
                <m:t>°</m:t>
              </m:r>
              <m:r>
                <m:t>F</m:t>
              </m:r>
            </m:oMath>
          </w:p>
        </w:tc>
      </w:tr>
      <w:tr>
        <w:tc>
          <w:tcPr/>
          <w:p>
            <w:pPr>
              <w:pStyle w:val="Compact"/>
              <w:jc w:val="left"/>
            </w:pPr>
            <m:oMath>
              <m:sSub>
                <m:e>
                  <m:r>
                    <m:t>T</m:t>
                  </m:r>
                </m:e>
                <m:sub>
                  <m:r>
                    <m:t>S</m:t>
                  </m:r>
                  <m:r>
                    <m:t>P</m:t>
                  </m:r>
                </m:sub>
              </m:sSub>
            </m:oMath>
          </w:p>
        </w:tc>
        <w:tc>
          <w:tcPr/>
          <w:p>
            <w:pPr>
              <w:pStyle w:val="Compact"/>
              <w:jc w:val="left"/>
            </w:pPr>
            <w:r>
              <w:t xml:space="preserve">Temperatura de referencia</w:t>
            </w:r>
          </w:p>
        </w:tc>
        <w:tc>
          <w:tcPr/>
          <w:p>
            <w:pPr>
              <w:pStyle w:val="Compact"/>
              <w:jc w:val="left"/>
            </w:pPr>
            <m:oMath>
              <m:r>
                <m:t>90</m:t>
              </m:r>
              <m:r>
                <m:t> </m:t>
              </m:r>
              <m:r>
                <m:rPr>
                  <m:sty m:val="p"/>
                </m:rPr>
                <m:t>°</m:t>
              </m:r>
              <m:r>
                <m:t>F</m:t>
              </m:r>
            </m:oMath>
          </w:p>
        </w:tc>
      </w:tr>
      <w:tr>
        <w:tc>
          <w:tcPr/>
          <w:p>
            <w:pPr>
              <w:pStyle w:val="Compact"/>
              <w:jc w:val="left"/>
            </w:pPr>
            <m:oMath>
              <m:sSub>
                <m:e>
                  <m:r>
                    <m:t>C</m:t>
                  </m:r>
                </m:e>
                <m:sub>
                  <m:r>
                    <m:t>V</m:t>
                  </m:r>
                  <m:r>
                    <m:t>L</m:t>
                  </m:r>
                </m:sub>
              </m:sSub>
            </m:oMath>
          </w:p>
        </w:tc>
        <w:tc>
          <w:tcPr/>
          <w:p>
            <w:pPr>
              <w:pStyle w:val="Compact"/>
              <w:jc w:val="left"/>
            </w:pPr>
            <w:r>
              <w:t xml:space="preserve">Coeficiente de flujo de la electroválvula</w:t>
            </w:r>
          </w:p>
        </w:tc>
        <w:tc>
          <w:tcPr/>
          <w:p>
            <w:pPr>
              <w:pStyle w:val="Compact"/>
              <w:jc w:val="left"/>
            </w:pPr>
            <m:oMath>
              <m:r>
                <m:t>0.20</m:t>
              </m:r>
              <m:r>
                <m:t> </m:t>
              </m:r>
              <m:r>
                <m:rPr>
                  <m:nor/>
                  <m:sty m:val="p"/>
                </m:rPr>
                <m:t>gpm</m:t>
              </m:r>
              <m:r>
                <m:rPr>
                  <m:sty m:val="p"/>
                </m:rPr>
                <m:t>/</m:t>
              </m:r>
              <m:rad>
                <m:radPr>
                  <m:degHide m:val="on"/>
                </m:radPr>
                <m:deg/>
                <m:e>
                  <m:r>
                    <m:rPr>
                      <m:nor/>
                      <m:sty m:val="p"/>
                    </m:rPr>
                    <m:t>psi</m:t>
                  </m:r>
                </m:e>
              </m:rad>
            </m:oMath>
          </w:p>
        </w:tc>
      </w:tr>
      <w:tr>
        <w:tc>
          <w:tcPr/>
          <w:p>
            <w:pPr>
              <w:pStyle w:val="Compact"/>
              <w:jc w:val="left"/>
            </w:pPr>
            <m:oMath>
              <m:r>
                <m:t>Δ</m:t>
              </m:r>
              <m:sSub>
                <m:e>
                  <m:r>
                    <m:t>P</m:t>
                  </m:r>
                </m:e>
                <m:sub>
                  <m:r>
                    <m:t>V</m:t>
                  </m:r>
                </m:sub>
              </m:sSub>
            </m:oMath>
          </w:p>
        </w:tc>
        <w:tc>
          <w:tcPr/>
          <w:p>
            <w:pPr>
              <w:pStyle w:val="Compact"/>
              <w:jc w:val="left"/>
            </w:pPr>
            <w:r>
              <w:t xml:space="preserve">Caída de presión efectiva en la válvula</w:t>
            </w:r>
          </w:p>
        </w:tc>
        <w:tc>
          <w:tcPr/>
          <w:p>
            <w:pPr>
              <w:pStyle w:val="Compact"/>
              <w:jc w:val="left"/>
            </w:pPr>
            <m:oMath>
              <m:r>
                <m:t>10</m:t>
              </m:r>
              <m:r>
                <m:t> </m:t>
              </m:r>
              <m:r>
                <m:rPr>
                  <m:nor/>
                  <m:sty m:val="p"/>
                </m:rPr>
                <m:t>psi</m:t>
              </m:r>
            </m:oMath>
          </w:p>
        </w:tc>
      </w:tr>
      <w:tr>
        <w:tc>
          <w:tcPr/>
          <w:p>
            <w:pPr>
              <w:pStyle w:val="Compact"/>
              <w:jc w:val="left"/>
            </w:pPr>
            <m:oMath>
              <m:sSub>
                <m:e>
                  <m:r>
                    <m:t>W</m:t>
                  </m:r>
                </m:e>
                <m:sub>
                  <m:r>
                    <m:t>1</m:t>
                  </m:r>
                </m:sub>
              </m:sSub>
            </m:oMath>
          </w:p>
        </w:tc>
        <w:tc>
          <w:tcPr/>
          <w:p>
            <w:pPr>
              <w:pStyle w:val="Compact"/>
              <w:jc w:val="left"/>
            </w:pPr>
            <w:r>
              <w:t xml:space="preserve">Flujo másico del fluido caliente</w:t>
            </w:r>
          </w:p>
        </w:tc>
        <w:tc>
          <w:tcPr/>
          <w:p>
            <w:pPr>
              <w:pStyle w:val="Compact"/>
              <w:jc w:val="left"/>
            </w:pPr>
            <m:oMath>
              <m:r>
                <m:t>4.41</m:t>
              </m:r>
              <m:r>
                <m:t> </m:t>
              </m:r>
              <m:r>
                <m:rPr>
                  <m:nor/>
                  <m:sty m:val="p"/>
                </m:rPr>
                <m:t>lb/min</m:t>
              </m:r>
            </m:oMath>
          </w:p>
        </w:tc>
      </w:tr>
      <w:tr>
        <w:tc>
          <w:tcPr/>
          <w:p>
            <w:pPr>
              <w:pStyle w:val="Compact"/>
              <w:jc w:val="left"/>
            </w:pPr>
            <m:oMath>
              <m:sSubSup>
                <m:e>
                  <m:r>
                    <m:t>W</m:t>
                  </m:r>
                </m:e>
                <m:sub>
                  <m:r>
                    <m:t>2</m:t>
                  </m:r>
                </m:sub>
                <m:sup>
                  <m:r>
                    <m:t>s</m:t>
                  </m:r>
                  <m:r>
                    <m:t>s</m:t>
                  </m:r>
                </m:sup>
              </m:sSubSup>
            </m:oMath>
          </w:p>
        </w:tc>
        <w:tc>
          <w:tcPr/>
          <w:p>
            <w:pPr>
              <w:pStyle w:val="Compact"/>
              <w:jc w:val="left"/>
            </w:pPr>
            <w:r>
              <w:t xml:space="preserve">Flujo másico del fluido frío en estado estacionario</w:t>
            </w:r>
          </w:p>
        </w:tc>
        <w:tc>
          <w:tcPr/>
          <w:p>
            <w:pPr>
              <w:pStyle w:val="Compact"/>
              <w:jc w:val="left"/>
            </w:pPr>
            <m:oMath>
              <m:r>
                <m:t>0.995</m:t>
              </m:r>
              <m:r>
                <m:t> </m:t>
              </m:r>
              <m:r>
                <m:rPr>
                  <m:nor/>
                  <m:sty m:val="p"/>
                </m:rPr>
                <m:t>lb/min</m:t>
              </m:r>
            </m:oMath>
          </w:p>
        </w:tc>
      </w:tr>
      <w:tr>
        <w:tc>
          <w:tcPr/>
          <w:p>
            <w:pPr>
              <w:pStyle w:val="Compact"/>
              <w:jc w:val="left"/>
            </w:pPr>
            <m:oMath>
              <m:bar>
                <m:barPr>
                  <m:pos m:val="top"/>
                </m:barPr>
                <m:e>
                  <m:sSub>
                    <m:e>
                      <m:r>
                        <m:t>V</m:t>
                      </m:r>
                    </m:e>
                    <m:sub>
                      <m:r>
                        <m:t>P</m:t>
                      </m:r>
                    </m:sub>
                  </m:sSub>
                </m:e>
              </m:bar>
            </m:oMath>
          </w:p>
        </w:tc>
        <w:tc>
          <w:tcPr/>
          <w:p>
            <w:pPr>
              <w:pStyle w:val="Compact"/>
              <w:jc w:val="left"/>
            </w:pPr>
            <w:r>
              <w:t xml:space="preserve">Posición de equilibrio de la válvula (</w:t>
            </w:r>
            <m:oMath>
              <m:r>
                <m:t>90</m:t>
              </m:r>
              <m:r>
                <m:t> </m:t>
              </m:r>
              <m:r>
                <m:rPr>
                  <m:sty m:val="p"/>
                </m:rPr>
                <m:t>°</m:t>
              </m:r>
              <m:r>
                <m:t>F</m:t>
              </m:r>
            </m:oMath>
            <w:r>
              <w:t xml:space="preserve">)</w:t>
            </w:r>
          </w:p>
        </w:tc>
        <w:tc>
          <w:tcPr/>
          <w:p>
            <w:pPr>
              <w:pStyle w:val="Compact"/>
              <w:jc w:val="left"/>
            </w:pPr>
            <m:oMath>
              <m:r>
                <m:t>0.1888</m:t>
              </m:r>
            </m:oMath>
          </w:p>
        </w:tc>
      </w:tr>
      <w:tr>
        <w:tc>
          <w:tcPr/>
          <w:p>
            <w:pPr>
              <w:pStyle w:val="Compact"/>
              <w:jc w:val="left"/>
            </w:pPr>
            <m:oMath>
              <m:sSub>
                <m:e>
                  <m:r>
                    <m:t>τ</m:t>
                  </m:r>
                </m:e>
                <m:sub>
                  <m:r>
                    <m:t>T</m:t>
                  </m:r>
                </m:sub>
              </m:sSub>
            </m:oMath>
          </w:p>
        </w:tc>
        <w:tc>
          <w:tcPr/>
          <w:p>
            <w:pPr>
              <w:pStyle w:val="Compact"/>
              <w:jc w:val="left"/>
            </w:pPr>
            <w:r>
              <w:t xml:space="preserve">Constante de tiempo del sensor DS18B20</w:t>
            </w:r>
          </w:p>
        </w:tc>
        <w:tc>
          <w:tcPr/>
          <w:p>
            <w:pPr>
              <w:pStyle w:val="Compact"/>
              <w:jc w:val="left"/>
            </w:pPr>
            <m:oMath>
              <m:r>
                <m:t>0.5</m:t>
              </m:r>
              <m:r>
                <m:t> </m:t>
              </m:r>
              <m:r>
                <m:rPr>
                  <m:nor/>
                  <m:sty m:val="p"/>
                </m:rPr>
                <m:t>min</m:t>
              </m:r>
            </m:oMath>
          </w:p>
        </w:tc>
      </w:tr>
      <w:tr>
        <w:tc>
          <w:tcPr/>
          <w:p>
            <w:pPr>
              <w:pStyle w:val="Compact"/>
              <w:jc w:val="left"/>
            </w:pPr>
            <m:oMath>
              <m:r>
                <m:t>A</m:t>
              </m:r>
            </m:oMath>
          </w:p>
        </w:tc>
        <w:tc>
          <w:tcPr/>
          <w:p>
            <w:pPr>
              <w:pStyle w:val="Compact"/>
              <w:jc w:val="left"/>
            </w:pPr>
            <w:r>
              <w:t xml:space="preserve">Sección transversal de la tubería</w:t>
            </w:r>
          </w:p>
        </w:tc>
        <w:tc>
          <w:tcPr/>
          <w:p>
            <w:pPr>
              <w:pStyle w:val="Compact"/>
              <w:jc w:val="left"/>
            </w:pPr>
            <m:oMath>
              <m:r>
                <m:t>0.00211</m:t>
              </m:r>
              <m:r>
                <m:t> </m:t>
              </m:r>
              <m:sSup>
                <m:e>
                  <m:r>
                    <m:rPr>
                      <m:nor/>
                      <m:sty m:val="p"/>
                    </m:rPr>
                    <m:t>ft</m:t>
                  </m:r>
                </m:e>
                <m:sup>
                  <m:r>
                    <m:t>2</m:t>
                  </m:r>
                </m:sup>
              </m:sSup>
            </m:oMath>
          </w:p>
        </w:tc>
      </w:tr>
      <w:tr>
        <w:tc>
          <w:tcPr/>
          <w:p>
            <w:pPr>
              <w:pStyle w:val="Compact"/>
              <w:jc w:val="left"/>
            </w:pPr>
            <m:oMath>
              <m:r>
                <m:t>L</m:t>
              </m:r>
            </m:oMath>
          </w:p>
        </w:tc>
        <w:tc>
          <w:tcPr/>
          <w:p>
            <w:pPr>
              <w:pStyle w:val="Compact"/>
              <w:jc w:val="left"/>
            </w:pPr>
            <w:r>
              <w:t xml:space="preserve">Longitud de la tubería de transporte</w:t>
            </w:r>
          </w:p>
        </w:tc>
        <w:tc>
          <w:tcPr/>
          <w:p>
            <w:pPr>
              <w:pStyle w:val="Compact"/>
              <w:jc w:val="left"/>
            </w:pPr>
            <m:oMath>
              <m:r>
                <m:t>20</m:t>
              </m:r>
              <m:r>
                <m:t> </m:t>
              </m:r>
              <m:r>
                <m:rPr>
                  <m:nor/>
                  <m:sty m:val="p"/>
                </m:rPr>
                <m:t>in</m:t>
              </m:r>
              <m:r>
                <m:t> </m:t>
              </m:r>
              <m:d>
                <m:dPr>
                  <m:begChr m:val="("/>
                  <m:endChr m:val=")"/>
                  <m:sepChr m:val=""/>
                  <m:grow/>
                </m:dPr>
                <m:e>
                  <m:r>
                    <m:t>0.508</m:t>
                  </m:r>
                  <m:r>
                    <m:t> </m:t>
                  </m:r>
                  <m:r>
                    <m:rPr>
                      <m:nor/>
                      <m:sty m:val="p"/>
                    </m:rPr>
                    <m:t>m</m:t>
                  </m:r>
                </m:e>
              </m:d>
            </m:oMath>
          </w:p>
        </w:tc>
      </w:tr>
    </w:tbl>
    <w:bookmarkStart w:id="23" w:name="X25aae21dd98d62a374943b3b5ac85fe11511207"/>
    <w:p>
      <w:pPr>
        <w:pStyle w:val="Heading3"/>
      </w:pPr>
      <w:r>
        <w:t xml:space="preserve">4.5.1. Identificación del modelo FOPDT del prototipo</w:t>
      </w:r>
    </w:p>
    <w:p>
      <w:pPr>
        <w:pStyle w:val="FirstParagraph"/>
      </w:pPr>
      <w:r>
        <w:t xml:space="preserve">Para la identificación del modelo matemático del prototipo se aplicó el método de dos puntos de Smith sobre la curva de reacción del proceso, induciendo un escalón del 5% en la posición de apertura de la electroválvula desde el estado estacionario. El tiempo muerto</w:t>
      </w:r>
      <w:r>
        <w:t xml:space="preserve"> </w:t>
      </w:r>
      <m:oMath>
        <m:sSub>
          <m:e>
            <m:r>
              <m:t>t</m:t>
            </m:r>
          </m:e>
          <m:sub>
            <m:r>
              <m:t>0</m:t>
            </m:r>
          </m:sub>
        </m:sSub>
      </m:oMath>
      <w:r>
        <w:t xml:space="preserve"> </w:t>
      </w:r>
      <w:r>
        <w:t xml:space="preserve">se determinó a partir del retardo de transporte producido por la longitud de la tubería entre el tanque y el sensor, de acuerdo con la ecuación (3.3). Los parámetros obtenidos son:</w:t>
      </w:r>
    </w:p>
    <w:p>
      <w:pPr>
        <w:pStyle w:val="BodyText"/>
      </w:pPr>
      <m:oMathPara>
        <m:oMathParaPr>
          <m:jc m:val="center"/>
        </m:oMathParaPr>
        <m:oMath>
          <m:f>
            <m:fPr>
              <m:type m:val="bar"/>
            </m:fPr>
            <m:num>
              <m:sSub>
                <m:e>
                  <m:r>
                    <m:t>Y</m:t>
                  </m:r>
                </m:e>
                <m:sub>
                  <m:d>
                    <m:dPr>
                      <m:begChr m:val="("/>
                      <m:endChr m:val=")"/>
                      <m:sepChr m:val=""/>
                      <m:grow/>
                    </m:dPr>
                    <m:e>
                      <m:r>
                        <m:t>s</m:t>
                      </m:r>
                    </m:e>
                  </m:d>
                </m:sub>
              </m:sSub>
            </m:num>
            <m:den>
              <m:sSub>
                <m:e>
                  <m:r>
                    <m:t>u</m:t>
                  </m:r>
                </m:e>
                <m:sub>
                  <m:d>
                    <m:dPr>
                      <m:begChr m:val="("/>
                      <m:endChr m:val=")"/>
                      <m:sepChr m:val=""/>
                      <m:grow/>
                    </m:dPr>
                    <m:e>
                      <m:r>
                        <m:t>s</m:t>
                      </m:r>
                    </m:e>
                  </m:d>
                </m:sub>
              </m:sSub>
            </m:den>
          </m:f>
          <m:r>
            <m:rPr>
              <m:sty m:val="p"/>
            </m:rPr>
            <m:t>=</m:t>
          </m:r>
          <m:f>
            <m:fPr>
              <m:type m:val="bar"/>
            </m:fPr>
            <m:num>
              <m:r>
                <m:t>K</m:t>
              </m:r>
              <m:sSup>
                <m:e>
                  <m:r>
                    <m:t>e</m:t>
                  </m:r>
                </m:e>
                <m:sup>
                  <m:r>
                    <m:rPr>
                      <m:sty m:val="p"/>
                    </m:rPr>
                    <m:t>−</m:t>
                  </m:r>
                  <m:sSub>
                    <m:e>
                      <m:r>
                        <m:t>t</m:t>
                      </m:r>
                    </m:e>
                    <m:sub>
                      <m:r>
                        <m:t>0</m:t>
                      </m:r>
                    </m:sub>
                  </m:sSub>
                  <m:r>
                    <m:t>s</m:t>
                  </m:r>
                </m:sup>
              </m:sSup>
            </m:num>
            <m:den>
              <m:r>
                <m:t>τ</m:t>
              </m:r>
              <m:r>
                <m:t>s</m:t>
              </m:r>
              <m:r>
                <m:rPr>
                  <m:sty m:val="p"/>
                </m:rPr>
                <m:t>+</m:t>
              </m:r>
              <m:r>
                <m:t>1</m:t>
              </m:r>
            </m:den>
          </m:f>
          <m:r>
            <m:t> </m:t>
          </m:r>
          <m:d>
            <m:dPr>
              <m:begChr m:val="("/>
              <m:endChr m:val=")"/>
              <m:sepChr m:val=""/>
              <m:grow/>
            </m:dPr>
            <m:e>
              <m:r>
                <m:t>4.1</m:t>
              </m:r>
            </m:e>
          </m:d>
        </m:oMath>
      </m:oMathPara>
    </w:p>
    <w:p>
      <w:pPr>
        <w:pStyle w:val="FirstParagraph"/>
      </w:pPr>
      <m:oMathPara>
        <m:oMathParaPr>
          <m:jc m:val="center"/>
        </m:oMathParaPr>
        <m:oMath>
          <m:f>
            <m:fPr>
              <m:type m:val="bar"/>
            </m:fPr>
            <m:num>
              <m:sSub>
                <m:e>
                  <m:r>
                    <m:t>Y</m:t>
                  </m:r>
                </m:e>
                <m:sub>
                  <m:d>
                    <m:dPr>
                      <m:begChr m:val="("/>
                      <m:endChr m:val=")"/>
                      <m:sepChr m:val=""/>
                      <m:grow/>
                    </m:dPr>
                    <m:e>
                      <m:r>
                        <m:t>s</m:t>
                      </m:r>
                    </m:e>
                  </m:d>
                </m:sub>
              </m:sSub>
            </m:num>
            <m:den>
              <m:sSub>
                <m:e>
                  <m:r>
                    <m:t>u</m:t>
                  </m:r>
                </m:e>
                <m:sub>
                  <m:d>
                    <m:dPr>
                      <m:begChr m:val="("/>
                      <m:endChr m:val=")"/>
                      <m:sepChr m:val=""/>
                      <m:grow/>
                    </m:dPr>
                    <m:e>
                      <m:r>
                        <m:t>s</m:t>
                      </m:r>
                    </m:e>
                  </m:d>
                </m:sub>
              </m:sSub>
            </m:den>
          </m:f>
          <m:r>
            <m:rPr>
              <m:sty m:val="p"/>
            </m:rPr>
            <m:t>=</m:t>
          </m:r>
          <m:f>
            <m:fPr>
              <m:type m:val="bar"/>
            </m:fPr>
            <m:num>
              <m:r>
                <m:rPr>
                  <m:sty m:val="p"/>
                </m:rPr>
                <m:t>−</m:t>
              </m:r>
              <m:r>
                <m:t>0.327</m:t>
              </m:r>
            </m:num>
            <m:den>
              <m:r>
                <m:t>499.54</m:t>
              </m:r>
              <m:r>
                <m:t> </m:t>
              </m:r>
              <m:r>
                <m:t>s</m:t>
              </m:r>
              <m:r>
                <m:rPr>
                  <m:sty m:val="p"/>
                </m:rPr>
                <m:t>+</m:t>
              </m:r>
              <m:r>
                <m:t>1</m:t>
              </m:r>
            </m:den>
          </m:f>
          <m:sSup>
            <m:e>
              <m:r>
                <m:t>e</m:t>
              </m:r>
            </m:e>
            <m:sup>
              <m:r>
                <m:rPr>
                  <m:sty m:val="p"/>
                </m:rPr>
                <m:t>−</m:t>
              </m:r>
              <m:r>
                <m:t>21.94</m:t>
              </m:r>
              <m:r>
                <m:t> </m:t>
              </m:r>
              <m:r>
                <m:t>s</m:t>
              </m:r>
            </m:sup>
          </m:sSup>
          <m:r>
            <m:t> </m:t>
          </m:r>
          <m:d>
            <m:dPr>
              <m:begChr m:val="("/>
              <m:endChr m:val=")"/>
              <m:sepChr m:val=""/>
              <m:grow/>
            </m:dPr>
            <m:e>
              <m:r>
                <m:t>4.2</m:t>
              </m:r>
            </m:e>
          </m:d>
        </m:oMath>
      </m:oMathPara>
    </w:p>
    <w:p>
      <w:pPr>
        <w:pStyle w:val="FirstParagraph"/>
      </w:pPr>
      <w:r>
        <w:t xml:space="preserve">Se observa que la razón de dominancia del retardo resultante es</w:t>
      </w:r>
      <w:r>
        <w:t xml:space="preserve"> </w:t>
      </w:r>
      <m:oMath>
        <m:sSub>
          <m:e>
            <m:r>
              <m:t>t</m:t>
            </m:r>
          </m:e>
          <m:sub>
            <m:r>
              <m:t>0</m:t>
            </m:r>
          </m:sub>
        </m:sSub>
        <m:r>
          <m:rPr>
            <m:sty m:val="p"/>
          </m:rPr>
          <m:t>/</m:t>
        </m:r>
        <m:r>
          <m:t>τ</m:t>
        </m:r>
        <m:r>
          <m:rPr>
            <m:sty m:val="p"/>
          </m:rPr>
          <m:t>=</m:t>
        </m:r>
        <m:r>
          <m:t>0.044</m:t>
        </m:r>
      </m:oMath>
      <w:r>
        <w:t xml:space="preserve">, lo cual corresponde a un proceso con retardo no dominante, a diferencia del sistema de referencia donde dicha razón es</w:t>
      </w:r>
      <w:r>
        <w:t xml:space="preserve"> </w:t>
      </w:r>
      <m:oMath>
        <m:r>
          <m:t>1.72</m:t>
        </m:r>
      </m:oMath>
      <w:r>
        <w:t xml:space="preserve">. En ambos casos el Predictor Smith actúa como compensador del retardo de transporte; sin embargo, su contribución al margen de estabilidad del lazo cerrado resulta especialmente significativa cuando se emplean ganancias de controlador elevadas.</w:t>
      </w:r>
    </w:p>
    <w:p>
      <w:pPr>
        <w:pStyle w:val="BodyText"/>
      </w:pPr>
      <w:r>
        <w:t xml:space="preserve">Se muestra en la figura 4.5 la respuesta del modelo FOPDT identificado ante una señal de entrada tipo escalón del 5% en la posición de la válvula. La figura permite verificar los parámetros</w:t>
      </w:r>
      <w:r>
        <w:t xml:space="preserve"> </w:t>
      </w:r>
      <m:oMath>
        <m:r>
          <m:t>K</m:t>
        </m:r>
      </m:oMath>
      <w:r>
        <w:t xml:space="preserve">,</w:t>
      </w:r>
      <w:r>
        <w:t xml:space="preserve"> </w:t>
      </w:r>
      <m:oMath>
        <m:r>
          <m:t>τ</m:t>
        </m:r>
      </m:oMath>
      <w:r>
        <w:t xml:space="preserve"> </w:t>
      </w:r>
      <w:r>
        <w:t xml:space="preserve">y</w:t>
      </w:r>
      <w:r>
        <w:t xml:space="preserve"> </w:t>
      </w:r>
      <m:oMath>
        <m:sSub>
          <m:e>
            <m:r>
              <m:t>t</m:t>
            </m:r>
          </m:e>
          <m:sub>
            <m:r>
              <m:t>0</m:t>
            </m:r>
          </m:sub>
        </m:sSub>
      </m:oMath>
      <w:r>
        <w:t xml:space="preserve"> </w:t>
      </w:r>
      <w:r>
        <w:t xml:space="preserve">obtenidos mediante el método de dos puntos de Smith.</w:t>
      </w:r>
    </w:p>
    <w:p>
      <w:pPr>
        <w:pStyle w:val="BodyText"/>
      </w:pPr>
      <w:r>
        <w:drawing>
          <wp:inline>
            <wp:extent cx="5334000" cy="3333750"/>
            <wp:effectExtent b="0" l="0" r="0" t="0"/>
            <wp:docPr descr="" title="" id="21" name="Picture"/>
            <a:graphic>
              <a:graphicData uri="http://schemas.openxmlformats.org/drawingml/2006/picture">
                <pic:pic>
                  <pic:nvPicPr>
                    <pic:cNvPr descr="/home/gjanampa/ESP_PROJECTS/Smith_pred_temp_reg/docs/figures/fig_3A_fopdt_step.png" id="22"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4.5.</w:t>
      </w:r>
      <w:r>
        <w:t xml:space="preserve"> </w:t>
      </w:r>
      <w:r>
        <w:t xml:space="preserve">Respuesta del modelo FOPDT del prototipo a una señal de entrada tipo escalón (</w:t>
      </w:r>
      <m:oMath>
        <m:r>
          <m:t>K</m:t>
        </m:r>
        <m:r>
          <m:rPr>
            <m:sty m:val="p"/>
          </m:rPr>
          <m:t>=</m:t>
        </m:r>
        <m:r>
          <m:rPr>
            <m:sty m:val="p"/>
          </m:rPr>
          <m:t>−</m:t>
        </m:r>
        <m:r>
          <m:t>0.327</m:t>
        </m:r>
      </m:oMath>
      <w:r>
        <w:t xml:space="preserve">,</w:t>
      </w:r>
      <w:r>
        <w:t xml:space="preserve"> </w:t>
      </w:r>
      <m:oMath>
        <m:r>
          <m:t>τ</m:t>
        </m:r>
        <m:r>
          <m:rPr>
            <m:sty m:val="p"/>
          </m:rPr>
          <m:t>=</m:t>
        </m:r>
        <m:r>
          <m:t>499.54</m:t>
        </m:r>
        <m:r>
          <m:t> </m:t>
        </m:r>
        <m:r>
          <m:rPr>
            <m:nor/>
            <m:sty m:val="p"/>
          </m:rPr>
          <m:t>s</m:t>
        </m:r>
      </m:oMath>
      <w:r>
        <w:t xml:space="preserve">,</w:t>
      </w:r>
      <w:r>
        <w:t xml:space="preserve"> </w:t>
      </w:r>
      <m:oMath>
        <m:sSub>
          <m:e>
            <m:r>
              <m:t>t</m:t>
            </m:r>
          </m:e>
          <m:sub>
            <m:r>
              <m:t>0</m:t>
            </m:r>
          </m:sub>
        </m:sSub>
        <m:r>
          <m:rPr>
            <m:sty m:val="p"/>
          </m:rPr>
          <m:t>=</m:t>
        </m:r>
        <m:r>
          <m:t>21.94</m:t>
        </m:r>
        <m:r>
          <m:t> </m:t>
        </m:r>
        <m:r>
          <m:rPr>
            <m:nor/>
            <m:sty m:val="p"/>
          </m:rPr>
          <m:t>s</m:t>
        </m:r>
      </m:oMath>
      <w:r>
        <w:t xml:space="preserve">).</w:t>
      </w:r>
    </w:p>
    <w:bookmarkEnd w:id="23"/>
    <w:bookmarkStart w:id="24" w:name="X09450dadb1a522fa9e1d7f0b2ff9f734242a083"/>
    <w:p>
      <w:pPr>
        <w:pStyle w:val="Heading3"/>
      </w:pPr>
      <w:r>
        <w:t xml:space="preserve">4.5.2. Discretización y parámetros del controlador implementado</w:t>
      </w:r>
    </w:p>
    <w:p>
      <w:pPr>
        <w:pStyle w:val="FirstParagraph"/>
      </w:pPr>
      <w:r>
        <w:t xml:space="preserve">La discretización del modelo se realizó mediante la transformación de retención de orden cero (ZOH) con período de muestreo</w:t>
      </w:r>
      <w:r>
        <w:t xml:space="preserve"> </w:t>
      </w:r>
      <m:oMath>
        <m:sSub>
          <m:e>
            <m:r>
              <m:t>T</m:t>
            </m:r>
          </m:e>
          <m:sub>
            <m:r>
              <m:t>s</m:t>
            </m:r>
          </m:sub>
        </m:sSub>
        <m:r>
          <m:rPr>
            <m:sty m:val="p"/>
          </m:rPr>
          <m:t>=</m:t>
        </m:r>
        <m:r>
          <m:t>1</m:t>
        </m:r>
        <m:r>
          <m:t> </m:t>
        </m:r>
        <m:r>
          <m:rPr>
            <m:nor/>
            <m:sty m:val="p"/>
          </m:rPr>
          <m:t>s</m:t>
        </m:r>
      </m:oMath>
      <w:r>
        <w:t xml:space="preserve">, obteniendo la ecuación de estado del modelo discreto:</w:t>
      </w:r>
    </w:p>
    <w:p>
      <w:pPr>
        <w:pStyle w:val="BodyText"/>
      </w:pPr>
      <m:oMathPara>
        <m:oMathParaPr>
          <m:jc m:val="center"/>
        </m:oMathParaPr>
        <m:oMath>
          <m:r>
            <m:t>x</m:t>
          </m:r>
          <m:d>
            <m:dPr>
              <m:begChr m:val="("/>
              <m:endChr m:val=")"/>
              <m:sepChr m:val=""/>
              <m:grow/>
            </m:dPr>
            <m:e>
              <m:r>
                <m:t>k</m:t>
              </m:r>
              <m:r>
                <m:rPr>
                  <m:sty m:val="p"/>
                </m:rPr>
                <m:t>+</m:t>
              </m:r>
              <m:r>
                <m:t>1</m:t>
              </m:r>
            </m:e>
          </m:d>
          <m:r>
            <m:rPr>
              <m:sty m:val="p"/>
            </m:rPr>
            <m:t>=</m:t>
          </m:r>
          <m:r>
            <m:t>a</m:t>
          </m:r>
          <m:r>
            <m:t> </m:t>
          </m:r>
          <m:r>
            <m:t>x</m:t>
          </m:r>
          <m:d>
            <m:dPr>
              <m:begChr m:val="("/>
              <m:endChr m:val=")"/>
              <m:sepChr m:val=""/>
              <m:grow/>
            </m:dPr>
            <m:e>
              <m:r>
                <m:t>k</m:t>
              </m:r>
            </m:e>
          </m:d>
          <m:r>
            <m:rPr>
              <m:sty m:val="p"/>
            </m:rPr>
            <m:t>+</m:t>
          </m:r>
          <m:r>
            <m:t>b</m:t>
          </m:r>
          <m:r>
            <m:t> </m:t>
          </m:r>
          <m:d>
            <m:dPr>
              <m:begChr m:val="["/>
              <m:endChr m:val="]"/>
              <m:sepChr m:val=""/>
              <m:grow/>
            </m:dPr>
            <m:e>
              <m:r>
                <m:t>u</m:t>
              </m:r>
              <m:d>
                <m:dPr>
                  <m:begChr m:val="("/>
                  <m:endChr m:val=")"/>
                  <m:sepChr m:val=""/>
                  <m:grow/>
                </m:dPr>
                <m:e>
                  <m:r>
                    <m:t>k</m:t>
                  </m:r>
                </m:e>
              </m:d>
              <m:r>
                <m:rPr>
                  <m:sty m:val="p"/>
                </m:rPr>
                <m:t>−</m:t>
              </m:r>
              <m:bar>
                <m:barPr>
                  <m:pos m:val="top"/>
                </m:barPr>
                <m:e>
                  <m:sSub>
                    <m:e>
                      <m:r>
                        <m:t>V</m:t>
                      </m:r>
                    </m:e>
                    <m:sub>
                      <m:r>
                        <m:t>P</m:t>
                      </m:r>
                    </m:sub>
                  </m:sSub>
                </m:e>
              </m:bar>
            </m:e>
          </m:d>
          <m:r>
            <m:t> </m:t>
          </m:r>
          <m:d>
            <m:dPr>
              <m:begChr m:val="("/>
              <m:endChr m:val=")"/>
              <m:sepChr m:val=""/>
              <m:grow/>
            </m:dPr>
            <m:e>
              <m:r>
                <m:t>4.3</m:t>
              </m:r>
            </m:e>
          </m:d>
        </m:oMath>
      </m:oMathPara>
    </w:p>
    <w:p>
      <w:pPr>
        <w:pStyle w:val="FirstParagraph"/>
      </w:pPr>
      <w:r>
        <w:t xml:space="preserve">donde:</w:t>
      </w:r>
    </w:p>
    <w:p>
      <w:pPr>
        <w:pStyle w:val="BodyText"/>
      </w:pPr>
      <m:oMathPara>
        <m:oMathParaPr>
          <m:jc m:val="center"/>
        </m:oMathParaPr>
        <m:oMath>
          <m:r>
            <m:t>a</m:t>
          </m:r>
          <m:r>
            <m:rPr>
              <m:sty m:val="p"/>
            </m:rPr>
            <m:t>=</m:t>
          </m:r>
          <m:sSup>
            <m:e>
              <m:r>
                <m:t>e</m:t>
              </m:r>
            </m:e>
            <m:sup>
              <m:r>
                <m:rPr>
                  <m:sty m:val="p"/>
                </m:rPr>
                <m:t>−</m:t>
              </m:r>
              <m:sSub>
                <m:e>
                  <m:r>
                    <m:t>T</m:t>
                  </m:r>
                </m:e>
                <m:sub>
                  <m:r>
                    <m:t>s</m:t>
                  </m:r>
                </m:sub>
              </m:sSub>
              <m:r>
                <m:rPr>
                  <m:sty m:val="p"/>
                </m:rPr>
                <m:t>/</m:t>
              </m:r>
              <m:r>
                <m:t>τ</m:t>
              </m:r>
            </m:sup>
          </m:sSup>
          <m:r>
            <m:rPr>
              <m:sty m:val="p"/>
            </m:rPr>
            <m:t>=</m:t>
          </m:r>
          <m:r>
            <m:t>0.99800</m:t>
          </m:r>
          <m:r>
            <m:t> </m:t>
          </m:r>
          <m:d>
            <m:dPr>
              <m:begChr m:val="("/>
              <m:endChr m:val=")"/>
              <m:sepChr m:val=""/>
              <m:grow/>
            </m:dPr>
            <m:e>
              <m:r>
                <m:t>4.4</m:t>
              </m:r>
            </m:e>
          </m:d>
        </m:oMath>
      </m:oMathPara>
    </w:p>
    <w:p>
      <w:pPr>
        <w:pStyle w:val="FirstParagraph"/>
      </w:pPr>
      <m:oMathPara>
        <m:oMathParaPr>
          <m:jc m:val="center"/>
        </m:oMathParaPr>
        <m:oMath>
          <m:r>
            <m:t>b</m:t>
          </m:r>
          <m:r>
            <m:rPr>
              <m:sty m:val="p"/>
            </m:rPr>
            <m:t>=</m:t>
          </m:r>
          <m:r>
            <m:t>K</m:t>
          </m:r>
          <m:d>
            <m:dPr>
              <m:begChr m:val="("/>
              <m:endChr m:val=")"/>
              <m:sepChr m:val=""/>
              <m:grow/>
            </m:dPr>
            <m:e>
              <m:r>
                <m:t>1</m:t>
              </m:r>
              <m:r>
                <m:rPr>
                  <m:sty m:val="p"/>
                </m:rPr>
                <m:t>−</m:t>
              </m:r>
              <m:r>
                <m:t>a</m:t>
              </m:r>
            </m:e>
          </m:d>
          <m:r>
            <m:rPr>
              <m:sty m:val="p"/>
            </m:rPr>
            <m:t>=</m:t>
          </m:r>
          <m:r>
            <m:rPr>
              <m:sty m:val="p"/>
            </m:rPr>
            <m:t>−</m:t>
          </m:r>
          <m:r>
            <m:t>6.54</m:t>
          </m:r>
          <m:r>
            <m:rPr>
              <m:sty m:val="p"/>
            </m:rPr>
            <m:t>×</m:t>
          </m:r>
          <m:sSup>
            <m:e>
              <m:r>
                <m:t>10</m:t>
              </m:r>
            </m:e>
            <m:sup>
              <m:r>
                <m:rPr>
                  <m:sty m:val="p"/>
                </m:rPr>
                <m:t>−</m:t>
              </m:r>
              <m:r>
                <m:t>4</m:t>
              </m:r>
            </m:sup>
          </m:sSup>
          <m:r>
            <m:t> </m:t>
          </m:r>
          <m:d>
            <m:dPr>
              <m:begChr m:val="("/>
              <m:endChr m:val=")"/>
              <m:sepChr m:val=""/>
              <m:grow/>
            </m:dPr>
            <m:e>
              <m:r>
                <m:t>4.5</m:t>
              </m:r>
            </m:e>
          </m:d>
        </m:oMath>
      </m:oMathPara>
    </w:p>
    <w:p>
      <w:pPr>
        <w:pStyle w:val="FirstParagraph"/>
      </w:pPr>
      <w:r>
        <w:t xml:space="preserve">El retardo de transporte se implementó mediante un buffer de</w:t>
      </w:r>
      <w:r>
        <w:t xml:space="preserve"> </w:t>
      </w:r>
      <m:oMath>
        <m:r>
          <m:t>d</m:t>
        </m:r>
        <m:r>
          <m:rPr>
            <m:sty m:val="p"/>
          </m:rPr>
          <m:t>=</m:t>
        </m:r>
        <m:r>
          <m:rPr>
            <m:sty m:val="p"/>
          </m:rPr>
          <m:t>⌊</m:t>
        </m:r>
        <m:sSub>
          <m:e>
            <m:r>
              <m:t>t</m:t>
            </m:r>
          </m:e>
          <m:sub>
            <m:r>
              <m:t>0</m:t>
            </m:r>
          </m:sub>
        </m:sSub>
        <m:r>
          <m:rPr>
            <m:sty m:val="p"/>
          </m:rPr>
          <m:t>/</m:t>
        </m:r>
        <m:sSub>
          <m:e>
            <m:r>
              <m:t>T</m:t>
            </m:r>
          </m:e>
          <m:sub>
            <m:r>
              <m:t>s</m:t>
            </m:r>
          </m:sub>
        </m:sSub>
        <m:r>
          <m:rPr>
            <m:sty m:val="p"/>
          </m:rPr>
          <m:t>⌉</m:t>
        </m:r>
        <m:r>
          <m:rPr>
            <m:sty m:val="p"/>
          </m:rPr>
          <m:t>=</m:t>
        </m:r>
        <m:r>
          <m:t>22</m:t>
        </m:r>
      </m:oMath>
      <w:r>
        <w:t xml:space="preserve"> </w:t>
      </w:r>
      <w:r>
        <w:t xml:space="preserve">muestras. La sintonía del controlador PI se realizó mediante la regla IMC para el Predictor Smith, con constante de ajuste</w:t>
      </w:r>
      <w:r>
        <w:t xml:space="preserve"> </w:t>
      </w:r>
      <m:oMath>
        <m:sSub>
          <m:e>
            <m:r>
              <m:t>T</m:t>
            </m:r>
          </m:e>
          <m:sub>
            <m:r>
              <m:t>c</m:t>
            </m:r>
          </m:sub>
        </m:sSub>
        <m:r>
          <m:rPr>
            <m:sty m:val="p"/>
          </m:rPr>
          <m:t>=</m:t>
        </m:r>
        <m:sSub>
          <m:e>
            <m:r>
              <m:t>t</m:t>
            </m:r>
          </m:e>
          <m:sub>
            <m:r>
              <m:t>0</m:t>
            </m:r>
          </m:sub>
        </m:sSub>
        <m:r>
          <m:rPr>
            <m:sty m:val="p"/>
          </m:rPr>
          <m:t>/</m:t>
        </m:r>
        <m:r>
          <m:t>10</m:t>
        </m:r>
        <m:r>
          <m:rPr>
            <m:sty m:val="p"/>
          </m:rPr>
          <m:t>=</m:t>
        </m:r>
        <m:r>
          <m:t>2.194</m:t>
        </m:r>
        <m:r>
          <m:t> </m:t>
        </m:r>
        <m:r>
          <m:rPr>
            <m:nor/>
            <m:sty m:val="p"/>
          </m:rPr>
          <m:t>s</m:t>
        </m:r>
      </m:oMath>
      <w:r>
        <w:t xml:space="preserve">:</w:t>
      </w:r>
    </w:p>
    <w:p>
      <w:pPr>
        <w:pStyle w:val="BodyText"/>
      </w:pPr>
      <m:oMathPara>
        <m:oMathParaPr>
          <m:jc m:val="center"/>
        </m:oMathParaPr>
        <m:oMath>
          <m:sSub>
            <m:e>
              <m:r>
                <m:t>K</m:t>
              </m:r>
            </m:e>
            <m:sub>
              <m:r>
                <m:t>c</m:t>
              </m:r>
            </m:sub>
          </m:sSub>
          <m:r>
            <m:rPr>
              <m:sty m:val="p"/>
            </m:rPr>
            <m:t>=</m:t>
          </m:r>
          <m:f>
            <m:fPr>
              <m:type m:val="bar"/>
            </m:fPr>
            <m:num>
              <m:r>
                <m:t>τ</m:t>
              </m:r>
            </m:num>
            <m:den>
              <m:r>
                <m:t>K</m:t>
              </m:r>
              <m:r>
                <m:rPr>
                  <m:sty m:val="p"/>
                </m:rPr>
                <m:t>⋅</m:t>
              </m:r>
              <m:sSub>
                <m:e>
                  <m:r>
                    <m:t>T</m:t>
                  </m:r>
                </m:e>
                <m:sub>
                  <m:r>
                    <m:t>c</m:t>
                  </m:r>
                </m:sub>
              </m:sSub>
            </m:den>
          </m:f>
          <m:r>
            <m:rPr>
              <m:sty m:val="p"/>
            </m:rPr>
            <m:t>=</m:t>
          </m:r>
          <m:r>
            <m:rPr>
              <m:sty m:val="p"/>
            </m:rPr>
            <m:t>−</m:t>
          </m:r>
          <m:r>
            <m:t>696.28</m:t>
          </m:r>
          <m:r>
            <m:t> </m:t>
          </m:r>
          <m:d>
            <m:dPr>
              <m:begChr m:val="("/>
              <m:endChr m:val=")"/>
              <m:sepChr m:val=""/>
              <m:grow/>
            </m:dPr>
            <m:e>
              <m:r>
                <m:t>4.6</m:t>
              </m:r>
            </m:e>
          </m:d>
        </m:oMath>
      </m:oMathPara>
    </w:p>
    <w:p>
      <w:pPr>
        <w:pStyle w:val="FirstParagraph"/>
      </w:pPr>
      <m:oMathPara>
        <m:oMathParaPr>
          <m:jc m:val="center"/>
        </m:oMathParaPr>
        <m:oMath>
          <m:sSub>
            <m:e>
              <m:r>
                <m:t>T</m:t>
              </m:r>
            </m:e>
            <m:sub>
              <m:r>
                <m:t>i</m:t>
              </m:r>
            </m:sub>
          </m:sSub>
          <m:r>
            <m:rPr>
              <m:sty m:val="p"/>
            </m:rPr>
            <m:t>=</m:t>
          </m:r>
          <m:r>
            <m:t>τ</m:t>
          </m:r>
          <m:r>
            <m:rPr>
              <m:sty m:val="p"/>
            </m:rPr>
            <m:t>=</m:t>
          </m:r>
          <m:r>
            <m:t>499.54</m:t>
          </m:r>
          <m:r>
            <m:t> </m:t>
          </m:r>
          <m:r>
            <m:rPr>
              <m:nor/>
              <m:sty m:val="p"/>
            </m:rPr>
            <m:t>s</m:t>
          </m:r>
          <m:r>
            <m:t> </m:t>
          </m:r>
          <m:d>
            <m:dPr>
              <m:begChr m:val="("/>
              <m:endChr m:val=")"/>
              <m:sepChr m:val=""/>
              <m:grow/>
            </m:dPr>
            <m:e>
              <m:r>
                <m:t>4.7</m:t>
              </m:r>
            </m:e>
          </m:d>
        </m:oMath>
      </m:oMathPara>
    </w:p>
    <w:p>
      <w:pPr>
        <w:pStyle w:val="FirstParagraph"/>
      </w:pPr>
      <w:r>
        <w:t xml:space="preserve">Dado que el actuador es una electroválvula de tipo todo-nada (ON/OFF), la señal de control continua</w:t>
      </w:r>
      <w:r>
        <w:t xml:space="preserve"> </w:t>
      </w:r>
      <m:oMath>
        <m:r>
          <m:t>u</m:t>
        </m:r>
        <m:d>
          <m:dPr>
            <m:begChr m:val="("/>
            <m:endChr m:val=")"/>
            <m:sepChr m:val=""/>
            <m:grow/>
          </m:dPr>
          <m:e>
            <m:r>
              <m:t>t</m:t>
            </m:r>
          </m:e>
        </m:d>
        <m:r>
          <m:rPr>
            <m:sty m:val="p"/>
          </m:rPr>
          <m:t>∈</m:t>
        </m:r>
        <m:d>
          <m:dPr>
            <m:begChr m:val="["/>
            <m:endChr m:val="]"/>
            <m:sepChr m:val=""/>
            <m:grow/>
          </m:dPr>
          <m:e>
            <m:r>
              <m:t>0</m:t>
            </m:r>
            <m:r>
              <m:rPr>
                <m:sty m:val="p"/>
              </m:rPr>
              <m:t>,</m:t>
            </m:r>
            <m:r>
              <m:t>1</m:t>
            </m:r>
          </m:e>
        </m:d>
      </m:oMath>
      <w:r>
        <w:t xml:space="preserve"> </w:t>
      </w:r>
      <w:r>
        <w:t xml:space="preserve">se convierte en una señal de activación binaria mediante la técnica de Salida Tiempo-Proporcional (TPO). Para una ventana de modulación de</w:t>
      </w:r>
      <w:r>
        <w:t xml:space="preserve"> </w:t>
      </w:r>
      <m:oMath>
        <m:sSub>
          <m:e>
            <m:r>
              <m:t>N</m:t>
            </m:r>
          </m:e>
          <m:sub>
            <m:r>
              <m:t>T</m:t>
            </m:r>
            <m:r>
              <m:t>P</m:t>
            </m:r>
            <m:r>
              <m:t>O</m:t>
            </m:r>
          </m:sub>
        </m:sSub>
        <m:r>
          <m:rPr>
            <m:sty m:val="p"/>
          </m:rPr>
          <m:t>=</m:t>
        </m:r>
        <m:r>
          <m:t>33</m:t>
        </m:r>
        <m:r>
          <m:t> </m:t>
        </m:r>
        <m:r>
          <m:rPr>
            <m:nor/>
            <m:sty m:val="p"/>
          </m:rPr>
          <m:t>s</m:t>
        </m:r>
      </m:oMath>
      <w:r>
        <w:t xml:space="preserve">, la válvula permanece abierta durante</w:t>
      </w:r>
      <w:r>
        <w:t xml:space="preserve"> </w:t>
      </w:r>
      <m:oMath>
        <m:r>
          <m:rPr>
            <m:sty m:val="p"/>
          </m:rPr>
          <m:t>⌊</m:t>
        </m:r>
        <m:r>
          <m:t>u</m:t>
        </m:r>
        <m:d>
          <m:dPr>
            <m:begChr m:val="("/>
            <m:endChr m:val=")"/>
            <m:sepChr m:val=""/>
            <m:grow/>
          </m:dPr>
          <m:e>
            <m:r>
              <m:t>k</m:t>
            </m:r>
          </m:e>
        </m:d>
        <m:r>
          <m:rPr>
            <m:sty m:val="p"/>
          </m:rPr>
          <m:t>⋅</m:t>
        </m:r>
        <m:sSub>
          <m:e>
            <m:r>
              <m:t>N</m:t>
            </m:r>
          </m:e>
          <m:sub>
            <m:r>
              <m:t>T</m:t>
            </m:r>
            <m:r>
              <m:t>P</m:t>
            </m:r>
            <m:r>
              <m:t>O</m:t>
            </m:r>
          </m:sub>
        </m:sSub>
        <m:r>
          <m:rPr>
            <m:sty m:val="p"/>
          </m:rPr>
          <m:t>⌉</m:t>
        </m:r>
      </m:oMath>
      <w:r>
        <w:t xml:space="preserve"> </w:t>
      </w:r>
      <w:r>
        <w:t xml:space="preserve">segundos por ciclo. La constante de tiempo del tanque (</w:t>
      </w:r>
      <m:oMath>
        <m:r>
          <m:t>τ</m:t>
        </m:r>
        <m:r>
          <m:rPr>
            <m:sty m:val="p"/>
          </m:rPr>
          <m:t>=</m:t>
        </m:r>
        <m:r>
          <m:t>499.54</m:t>
        </m:r>
        <m:r>
          <m:t> </m:t>
        </m:r>
        <m:r>
          <m:rPr>
            <m:nor/>
            <m:sty m:val="p"/>
          </m:rPr>
          <m:t>s</m:t>
        </m:r>
      </m:oMath>
      <w:r>
        <w:t xml:space="preserve">) es muy superior al período de la modulación TPO (</w:t>
      </w:r>
      <m:oMath>
        <m:sSub>
          <m:e>
            <m:r>
              <m:t>N</m:t>
            </m:r>
          </m:e>
          <m:sub>
            <m:r>
              <m:t>T</m:t>
            </m:r>
            <m:r>
              <m:t>P</m:t>
            </m:r>
            <m:r>
              <m:t>O</m:t>
            </m:r>
          </m:sub>
        </m:sSub>
        <m:r>
          <m:rPr>
            <m:sty m:val="p"/>
          </m:rPr>
          <m:t>=</m:t>
        </m:r>
        <m:r>
          <m:t>33</m:t>
        </m:r>
        <m:r>
          <m:t> </m:t>
        </m:r>
        <m:r>
          <m:rPr>
            <m:nor/>
            <m:sty m:val="p"/>
          </m:rPr>
          <m:t>s</m:t>
        </m:r>
      </m:oMath>
      <w:r>
        <w:t xml:space="preserve">), por lo que el proceso integra la señal binaria y responde al valor medio del flujo comandado. La Tabla 4.3 resume los parámetros del controlador discreto implementado.</w:t>
      </w:r>
    </w:p>
    <w:p>
      <w:pPr>
        <w:pStyle w:val="BodyText"/>
      </w:pPr>
      <w:r>
        <w:rPr>
          <w:b/>
          <w:bCs/>
        </w:rPr>
        <w:t xml:space="preserve">Tabla 4.3.</w:t>
      </w:r>
      <w:r>
        <w:t xml:space="preserve"> </w:t>
      </w:r>
      <w:r>
        <w:t xml:space="preserve">Parámetros del controlador discreto implementado.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Parámetro</w:t>
            </w:r>
          </w:p>
        </w:tc>
        <w:tc>
          <w:tcPr/>
          <w:p>
            <w:pPr>
              <w:pStyle w:val="Compact"/>
              <w:jc w:val="left"/>
            </w:pPr>
            <w:r>
              <w:rPr>
                <w:b/>
                <w:bCs/>
              </w:rPr>
              <w:t xml:space="preserve">Descripción</w:t>
            </w:r>
          </w:p>
        </w:tc>
        <w:tc>
          <w:tcPr/>
          <w:p>
            <w:pPr>
              <w:pStyle w:val="Compact"/>
              <w:jc w:val="left"/>
            </w:pPr>
            <w:r>
              <w:rPr>
                <w:b/>
                <w:bCs/>
              </w:rPr>
              <w:t xml:space="preserve">Valor</w:t>
            </w:r>
          </w:p>
        </w:tc>
      </w:tr>
      <w:tr>
        <w:tc>
          <w:tcPr/>
          <w:p>
            <w:pPr>
              <w:pStyle w:val="Compact"/>
              <w:jc w:val="left"/>
            </w:pPr>
            <m:oMath>
              <m:r>
                <m:t>a</m:t>
              </m:r>
            </m:oMath>
          </w:p>
        </w:tc>
        <w:tc>
          <w:tcPr/>
          <w:p>
            <w:pPr>
              <w:pStyle w:val="Compact"/>
              <w:jc w:val="left"/>
            </w:pPr>
            <w:r>
              <w:t xml:space="preserve">Polo del modelo discreto (ZOH)</w:t>
            </w:r>
          </w:p>
        </w:tc>
        <w:tc>
          <w:tcPr/>
          <w:p>
            <w:pPr>
              <w:pStyle w:val="Compact"/>
              <w:jc w:val="left"/>
            </w:pPr>
            <m:oMath>
              <m:r>
                <m:t>0.99800</m:t>
              </m:r>
            </m:oMath>
          </w:p>
        </w:tc>
      </w:tr>
      <w:tr>
        <w:tc>
          <w:tcPr/>
          <w:p>
            <w:pPr>
              <w:pStyle w:val="Compact"/>
              <w:jc w:val="left"/>
            </w:pPr>
            <m:oMath>
              <m:r>
                <m:t>b</m:t>
              </m:r>
            </m:oMath>
          </w:p>
        </w:tc>
        <w:tc>
          <w:tcPr/>
          <w:p>
            <w:pPr>
              <w:pStyle w:val="Compact"/>
              <w:jc w:val="left"/>
            </w:pPr>
            <w:r>
              <w:t xml:space="preserve">Ganancia del modelo discreto (ZOH)</w:t>
            </w:r>
          </w:p>
        </w:tc>
        <w:tc>
          <w:tcPr/>
          <w:p>
            <w:pPr>
              <w:pStyle w:val="Compact"/>
              <w:jc w:val="left"/>
            </w:pPr>
            <m:oMath>
              <m:r>
                <m:rPr>
                  <m:sty m:val="p"/>
                </m:rPr>
                <m:t>−</m:t>
              </m:r>
              <m:r>
                <m:t>6.54</m:t>
              </m:r>
              <m:r>
                <m:rPr>
                  <m:sty m:val="p"/>
                </m:rPr>
                <m:t>×</m:t>
              </m:r>
              <m:sSup>
                <m:e>
                  <m:r>
                    <m:t>10</m:t>
                  </m:r>
                </m:e>
                <m:sup>
                  <m:r>
                    <m:rPr>
                      <m:sty m:val="p"/>
                    </m:rPr>
                    <m:t>−</m:t>
                  </m:r>
                  <m:r>
                    <m:t>4</m:t>
                  </m:r>
                </m:sup>
              </m:sSup>
            </m:oMath>
          </w:p>
        </w:tc>
      </w:tr>
      <w:tr>
        <w:tc>
          <w:tcPr/>
          <w:p>
            <w:pPr>
              <w:pStyle w:val="Compact"/>
              <w:jc w:val="left"/>
            </w:pPr>
            <m:oMath>
              <m:r>
                <m:t>d</m:t>
              </m:r>
            </m:oMath>
          </w:p>
        </w:tc>
        <w:tc>
          <w:tcPr/>
          <w:p>
            <w:pPr>
              <w:pStyle w:val="Compact"/>
              <w:jc w:val="left"/>
            </w:pPr>
            <w:r>
              <w:t xml:space="preserve">Tamaño del buffer de retardo del Predictor Smith</w:t>
            </w:r>
          </w:p>
        </w:tc>
        <w:tc>
          <w:tcPr/>
          <w:p>
            <w:pPr>
              <w:pStyle w:val="Compact"/>
              <w:jc w:val="left"/>
            </w:pPr>
            <m:oMath>
              <m:r>
                <m:t>22</m:t>
              </m:r>
            </m:oMath>
            <w:r>
              <w:t xml:space="preserve"> </w:t>
            </w:r>
            <w:r>
              <w:t xml:space="preserve">muestras</w:t>
            </w:r>
          </w:p>
        </w:tc>
      </w:tr>
      <w:tr>
        <w:tc>
          <w:tcPr/>
          <w:p>
            <w:pPr>
              <w:pStyle w:val="Compact"/>
              <w:jc w:val="left"/>
            </w:pPr>
            <m:oMath>
              <m:sSub>
                <m:e>
                  <m:r>
                    <m:t>N</m:t>
                  </m:r>
                </m:e>
                <m:sub>
                  <m:r>
                    <m:t>T</m:t>
                  </m:r>
                  <m:r>
                    <m:t>P</m:t>
                  </m:r>
                  <m:r>
                    <m:t>O</m:t>
                  </m:r>
                </m:sub>
              </m:sSub>
            </m:oMath>
          </w:p>
        </w:tc>
        <w:tc>
          <w:tcPr/>
          <w:p>
            <w:pPr>
              <w:pStyle w:val="Compact"/>
              <w:jc w:val="left"/>
            </w:pPr>
            <w:r>
              <w:t xml:space="preserve">Ventana de modulación tiempo-proporcional</w:t>
            </w:r>
          </w:p>
        </w:tc>
        <w:tc>
          <w:tcPr/>
          <w:p>
            <w:pPr>
              <w:pStyle w:val="Compact"/>
              <w:jc w:val="left"/>
            </w:pPr>
            <m:oMath>
              <m:r>
                <m:t>33</m:t>
              </m:r>
              <m:r>
                <m:t> </m:t>
              </m:r>
              <m:r>
                <m:rPr>
                  <m:nor/>
                  <m:sty m:val="p"/>
                </m:rPr>
                <m:t>s</m:t>
              </m:r>
            </m:oMath>
          </w:p>
        </w:tc>
      </w:tr>
      <w:tr>
        <w:tc>
          <w:tcPr/>
          <w:p>
            <w:pPr>
              <w:pStyle w:val="Compact"/>
              <w:jc w:val="left"/>
            </w:pPr>
            <m:oMath>
              <m:sSub>
                <m:e>
                  <m:r>
                    <m:t>K</m:t>
                  </m:r>
                </m:e>
                <m:sub>
                  <m:r>
                    <m:t>c</m:t>
                  </m:r>
                </m:sub>
              </m:sSub>
            </m:oMath>
          </w:p>
        </w:tc>
        <w:tc>
          <w:tcPr/>
          <w:p>
            <w:pPr>
              <w:pStyle w:val="Compact"/>
              <w:jc w:val="left"/>
            </w:pPr>
            <w:r>
              <w:t xml:space="preserve">Ganancia proporcional (</w:t>
            </w:r>
            <m:oMath>
              <m:sSub>
                <m:e>
                  <m:r>
                    <m:t>T</m:t>
                  </m:r>
                </m:e>
                <m:sub>
                  <m:r>
                    <m:t>c</m:t>
                  </m:r>
                </m:sub>
              </m:sSub>
              <m:r>
                <m:rPr>
                  <m:sty m:val="p"/>
                </m:rPr>
                <m:t>=</m:t>
              </m:r>
              <m:sSub>
                <m:e>
                  <m:r>
                    <m:t>t</m:t>
                  </m:r>
                </m:e>
                <m:sub>
                  <m:r>
                    <m:t>0</m:t>
                  </m:r>
                </m:sub>
              </m:sSub>
              <m:r>
                <m:rPr>
                  <m:sty m:val="p"/>
                </m:rPr>
                <m:t>/</m:t>
              </m:r>
              <m:r>
                <m:t>10</m:t>
              </m:r>
            </m:oMath>
            <w:r>
              <w:t xml:space="preserve">)</w:t>
            </w:r>
          </w:p>
        </w:tc>
        <w:tc>
          <w:tcPr/>
          <w:p>
            <w:pPr>
              <w:pStyle w:val="Compact"/>
              <w:jc w:val="left"/>
            </w:pPr>
            <m:oMath>
              <m:r>
                <m:rPr>
                  <m:sty m:val="p"/>
                </m:rPr>
                <m:t>−</m:t>
              </m:r>
              <m:r>
                <m:t>696.28</m:t>
              </m:r>
            </m:oMath>
          </w:p>
        </w:tc>
      </w:tr>
      <w:tr>
        <w:tc>
          <w:tcPr/>
          <w:p>
            <w:pPr>
              <w:pStyle w:val="Compact"/>
              <w:jc w:val="left"/>
            </w:pPr>
            <m:oMath>
              <m:sSub>
                <m:e>
                  <m:r>
                    <m:t>T</m:t>
                  </m:r>
                </m:e>
                <m:sub>
                  <m:r>
                    <m:t>i</m:t>
                  </m:r>
                </m:sub>
              </m:sSub>
            </m:oMath>
          </w:p>
        </w:tc>
        <w:tc>
          <w:tcPr/>
          <w:p>
            <w:pPr>
              <w:pStyle w:val="Compact"/>
              <w:jc w:val="left"/>
            </w:pPr>
            <w:r>
              <w:t xml:space="preserve">Tiempo integral</w:t>
            </w:r>
          </w:p>
        </w:tc>
        <w:tc>
          <w:tcPr/>
          <w:p>
            <w:pPr>
              <w:pStyle w:val="Compact"/>
              <w:jc w:val="left"/>
            </w:pPr>
            <m:oMath>
              <m:r>
                <m:t>499.54</m:t>
              </m:r>
              <m:r>
                <m:t> </m:t>
              </m:r>
              <m:r>
                <m:rPr>
                  <m:nor/>
                  <m:sty m:val="p"/>
                </m:rPr>
                <m:t>s</m:t>
              </m:r>
            </m:oMath>
          </w:p>
        </w:tc>
      </w:tr>
      <w:tr>
        <w:tc>
          <w:tcPr/>
          <w:p>
            <w:pPr>
              <w:pStyle w:val="Compact"/>
              <w:jc w:val="left"/>
            </w:pPr>
            <m:oMath>
              <m:bar>
                <m:barPr>
                  <m:pos m:val="top"/>
                </m:barPr>
                <m:e>
                  <m:sSub>
                    <m:e>
                      <m:r>
                        <m:t>V</m:t>
                      </m:r>
                    </m:e>
                    <m:sub>
                      <m:r>
                        <m:t>P</m:t>
                      </m:r>
                    </m:sub>
                  </m:sSub>
                </m:e>
              </m:bar>
            </m:oMath>
          </w:p>
        </w:tc>
        <w:tc>
          <w:tcPr/>
          <w:p>
            <w:pPr>
              <w:pStyle w:val="Compact"/>
              <w:jc w:val="left"/>
            </w:pPr>
            <w:r>
              <w:t xml:space="preserve">Posición de equilibrio de la válvula</w:t>
            </w:r>
          </w:p>
        </w:tc>
        <w:tc>
          <w:tcPr/>
          <w:p>
            <w:pPr>
              <w:pStyle w:val="Compact"/>
              <w:jc w:val="left"/>
            </w:pPr>
            <m:oMath>
              <m:r>
                <m:t>0.1888</m:t>
              </m:r>
            </m:oMath>
          </w:p>
        </w:tc>
      </w:tr>
      <w:tr>
        <w:tc>
          <w:tcPr/>
          <w:p>
            <w:pPr>
              <w:pStyle w:val="Compact"/>
              <w:jc w:val="left"/>
            </w:pPr>
            <m:oMath>
              <m:sSub>
                <m:e>
                  <m:r>
                    <m:t>T</m:t>
                  </m:r>
                </m:e>
                <m:sub>
                  <m:r>
                    <m:t>s</m:t>
                  </m:r>
                </m:sub>
              </m:sSub>
            </m:oMath>
          </w:p>
        </w:tc>
        <w:tc>
          <w:tcPr/>
          <w:p>
            <w:pPr>
              <w:pStyle w:val="Compact"/>
              <w:jc w:val="left"/>
            </w:pPr>
            <w:r>
              <w:t xml:space="preserve">Período de muestreo</w:t>
            </w:r>
          </w:p>
        </w:tc>
        <w:tc>
          <w:tcPr/>
          <w:p>
            <w:pPr>
              <w:pStyle w:val="Compact"/>
              <w:jc w:val="left"/>
            </w:pPr>
            <m:oMath>
              <m:r>
                <m:t>1.0</m:t>
              </m:r>
              <m:r>
                <m:t> </m:t>
              </m:r>
              <m:r>
                <m:rPr>
                  <m:nor/>
                  <m:sty m:val="p"/>
                </m:rPr>
                <m:t>s</m:t>
              </m:r>
            </m:oMath>
          </w:p>
        </w:tc>
      </w:tr>
    </w:tbl>
    <w:bookmarkEnd w:id="24"/>
    <w:bookmarkStart w:id="28" w:name="resultados-del-experimento-de-validación"/>
    <w:p>
      <w:pPr>
        <w:pStyle w:val="Heading3"/>
      </w:pPr>
      <w:r>
        <w:t xml:space="preserve">4.5.3. Resultados del experimento de validación</w:t>
      </w:r>
    </w:p>
    <w:p>
      <w:pPr>
        <w:pStyle w:val="FirstParagraph"/>
      </w:pPr>
      <w:r>
        <w:t xml:space="preserve">El experimento de validación se realizó en una sesión continua de 1800 segundos (30 minutos) bajo condiciones estables de operación. El controlador inicia con la integral precargada en</w:t>
      </w:r>
      <w:r>
        <w:t xml:space="preserve"> </w:t>
      </w:r>
      <m:oMath>
        <m:bar>
          <m:barPr>
            <m:pos m:val="top"/>
          </m:barPr>
          <m:e>
            <m:sSub>
              <m:e>
                <m:r>
                  <m:t>V</m:t>
                </m:r>
              </m:e>
              <m:sub>
                <m:r>
                  <m:t>P</m:t>
                </m:r>
              </m:sub>
            </m:sSub>
          </m:e>
        </m:bar>
        <m:r>
          <m:rPr>
            <m:sty m:val="p"/>
          </m:rPr>
          <m:t>=</m:t>
        </m:r>
        <m:r>
          <m:t>0.1888</m:t>
        </m:r>
      </m:oMath>
      <w:r>
        <w:t xml:space="preserve"> </w:t>
      </w:r>
      <w:r>
        <w:t xml:space="preserve">para evitar el arranque brusco. A</w:t>
      </w:r>
      <w:r>
        <w:t xml:space="preserve"> </w:t>
      </w:r>
      <m:oMath>
        <m:r>
          <m:t>t</m:t>
        </m:r>
        <m:r>
          <m:rPr>
            <m:sty m:val="p"/>
          </m:rPr>
          <m:t>=</m:t>
        </m:r>
        <m:r>
          <m:t>200</m:t>
        </m:r>
        <m:r>
          <m:t> </m:t>
        </m:r>
        <m:r>
          <m:rPr>
            <m:nor/>
            <m:sty m:val="p"/>
          </m:rPr>
          <m:t>s</m:t>
        </m:r>
      </m:oMath>
      <w:r>
        <w:t xml:space="preserve"> </w:t>
      </w:r>
      <w:r>
        <w:t xml:space="preserve">se aplica un escalón de referencia de</w:t>
      </w:r>
      <w:r>
        <w:t xml:space="preserve"> </w:t>
      </w:r>
      <m:oMath>
        <m:r>
          <m:t>80</m:t>
        </m:r>
        <m:r>
          <m:t> </m:t>
        </m:r>
        <m:r>
          <m:rPr>
            <m:sty m:val="p"/>
          </m:rPr>
          <m:t>°</m:t>
        </m:r>
        <m:r>
          <m:t>F</m:t>
        </m:r>
      </m:oMath>
      <w:r>
        <w:t xml:space="preserve"> </w:t>
      </w:r>
      <w:r>
        <w:t xml:space="preserve">a</w:t>
      </w:r>
      <w:r>
        <w:t xml:space="preserve"> </w:t>
      </w:r>
      <m:oMath>
        <m:r>
          <m:t>95</m:t>
        </m:r>
        <m:r>
          <m:t> </m:t>
        </m:r>
        <m:r>
          <m:rPr>
            <m:sty m:val="p"/>
          </m:rPr>
          <m:t>°</m:t>
        </m:r>
        <m:r>
          <m:t>F</m:t>
        </m:r>
      </m:oMath>
      <w:r>
        <w:t xml:space="preserve">.</w:t>
      </w:r>
    </w:p>
    <w:p>
      <w:pPr>
        <w:pStyle w:val="BodyText"/>
      </w:pPr>
      <w:r>
        <w:t xml:space="preserve">Se muestran en la figura 4.6 la temperatura medida (PV), la predicción del modelo Smith y el ciclo de trabajo de la electroválvula durante el escenario de validación. En el panel superior se observa el seguimiento suave del setpoint de temperatura sin sobreimpulso ni desviaciones en estado estacionario. En el panel inferior se presentan la señal continua de ciclo de trabajo</w:t>
      </w:r>
      <w:r>
        <w:t xml:space="preserve"> </w:t>
      </w:r>
      <m:oMath>
        <m:r>
          <m:t>u</m:t>
        </m:r>
        <m:d>
          <m:dPr>
            <m:begChr m:val="("/>
            <m:endChr m:val=")"/>
            <m:sepChr m:val=""/>
            <m:grow/>
          </m:dPr>
          <m:e>
            <m:r>
              <m:t>t</m:t>
            </m:r>
          </m:e>
        </m:d>
      </m:oMath>
      <w:r>
        <w:t xml:space="preserve"> </w:t>
      </w:r>
      <w:r>
        <w:t xml:space="preserve">y el estado binario ON/OFF de la válvula.</w:t>
      </w:r>
    </w:p>
    <w:p>
      <w:pPr>
        <w:pStyle w:val="BodyText"/>
      </w:pPr>
      <w:r>
        <w:drawing>
          <wp:inline>
            <wp:extent cx="5334000" cy="3772829"/>
            <wp:effectExtent b="0" l="0" r="0" t="0"/>
            <wp:docPr descr="" title="" id="26" name="Picture"/>
            <a:graphic>
              <a:graphicData uri="http://schemas.openxmlformats.org/drawingml/2006/picture">
                <pic:pic>
                  <pic:nvPicPr>
                    <pic:cNvPr descr="/home/gjanampa/ESP_PROJECTS/Smith_pred_temp_reg/docs/figures/fig_4C_full_scenario.png" id="27" name="Picture"/>
                    <pic:cNvPicPr>
                      <a:picLocks noChangeArrowheads="1" noChangeAspect="1"/>
                    </pic:cNvPicPr>
                  </pic:nvPicPr>
                  <pic:blipFill>
                    <a:blip r:embed="rId25"/>
                    <a:stretch>
                      <a:fillRect/>
                    </a:stretch>
                  </pic:blipFill>
                  <pic:spPr bwMode="auto">
                    <a:xfrm>
                      <a:off x="0" y="0"/>
                      <a:ext cx="5334000" cy="3772829"/>
                    </a:xfrm>
                    <a:prstGeom prst="rect">
                      <a:avLst/>
                    </a:prstGeom>
                    <a:noFill/>
                    <a:ln w="9525">
                      <a:noFill/>
                      <a:headEnd/>
                      <a:tailEnd/>
                    </a:ln>
                  </pic:spPr>
                </pic:pic>
              </a:graphicData>
            </a:graphic>
          </wp:inline>
        </w:drawing>
      </w:r>
    </w:p>
    <w:p>
      <w:pPr>
        <w:pStyle w:val="BodyText"/>
      </w:pPr>
      <w:r>
        <w:rPr>
          <w:b/>
          <w:bCs/>
        </w:rPr>
        <w:t xml:space="preserve">Figura 4.6.</w:t>
      </w:r>
      <w:r>
        <w:t xml:space="preserve"> </w:t>
      </w:r>
      <w:r>
        <w:t xml:space="preserve">Respuesta del sistema de control con Predictor Smith en el prototipo de laboratorio durante el escenario de validación de 30 minutos (</w:t>
      </w:r>
      <m:oMath>
        <m:sSub>
          <m:e>
            <m:r>
              <m:t>T</m:t>
            </m:r>
          </m:e>
          <m:sub>
            <m:r>
              <m:t>c</m:t>
            </m:r>
          </m:sub>
        </m:sSub>
        <m:r>
          <m:rPr>
            <m:sty m:val="p"/>
          </m:rPr>
          <m:t>=</m:t>
        </m:r>
        <m:sSub>
          <m:e>
            <m:r>
              <m:t>t</m:t>
            </m:r>
          </m:e>
          <m:sub>
            <m:r>
              <m:t>0</m:t>
            </m:r>
          </m:sub>
        </m:sSub>
        <m:r>
          <m:rPr>
            <m:sty m:val="p"/>
          </m:rPr>
          <m:t>/</m:t>
        </m:r>
        <m:r>
          <m:t>10</m:t>
        </m:r>
      </m:oMath>
      <w:r>
        <w:t xml:space="preserve">).</w:t>
      </w:r>
    </w:p>
    <w:p>
      <w:pPr>
        <w:pStyle w:val="BodyText"/>
      </w:pPr>
      <w:r>
        <w:t xml:space="preserve">La Tabla 4.4 presenta los parámetros de desempeño medidos sobre la señal de salida del prototipo, evaluados conforme a los criterios de la norma IEEE 1031 definidos en la Tabla 3.2.</w:t>
      </w:r>
    </w:p>
    <w:p>
      <w:pPr>
        <w:pStyle w:val="BodyText"/>
      </w:pPr>
      <w:r>
        <w:rPr>
          <w:b/>
          <w:bCs/>
        </w:rPr>
        <w:t xml:space="preserve">Tabla 4.4.</w:t>
      </w:r>
      <w:r>
        <w:t xml:space="preserve"> </w:t>
      </w:r>
      <w:r>
        <w:t xml:space="preserve">Parámetros de desempeño del Predictor Smith en el prototipo de laboratorio.</w:t>
      </w:r>
    </w:p>
    <w:tbl>
      <w:tblPr>
        <w:tblStyle w:val="Table"/>
        <w:tblW w:type="pct" w:w="5000"/>
        <w:jc w:val="left"/>
        <w:tblLayout w:type="fixed"/>
        <w:tblLook w:firstRow="1" w:lastRow="0" w:firstColumn="0" w:lastColumn="0" w:noHBand="0" w:noVBand="0" w:val="0020"/>
      </w:tblPr>
      <w:tblGrid>
        <w:gridCol w:w="1827"/>
        <w:gridCol w:w="3046"/>
        <w:gridCol w:w="3046"/>
      </w:tblGrid>
      <w:tr>
        <w:trPr>
          <w:tblHeader w:val="on"/>
        </w:trPr>
        <w:tc>
          <w:tcPr/>
          <w:p>
            <w:pPr>
              <w:pStyle w:val="Compact"/>
              <w:jc w:val="left"/>
            </w:pPr>
            <w:r>
              <w:rPr>
                <w:b/>
                <w:bCs/>
              </w:rPr>
              <w:t xml:space="preserve">Criterio</w:t>
            </w:r>
          </w:p>
        </w:tc>
        <w:tc>
          <w:tcPr/>
          <w:p>
            <w:pPr>
              <w:pStyle w:val="Compact"/>
              <w:jc w:val="center"/>
            </w:pPr>
            <w:r>
              <w:rPr>
                <w:b/>
                <w:bCs/>
              </w:rPr>
              <w:t xml:space="preserve">Escalón</w:t>
            </w:r>
            <w:r>
              <w:rPr>
                <w:b/>
                <w:bCs/>
              </w:rPr>
              <w:t xml:space="preserve"> </w:t>
            </w:r>
            <m:oMath>
              <m:r>
                <m:t>80</m:t>
              </m:r>
              <m:r>
                <m:rPr>
                  <m:sty m:val="p"/>
                </m:rPr>
                <m:t>→</m:t>
              </m:r>
              <m:r>
                <m:t>95</m:t>
              </m:r>
              <m:r>
                <m:t> </m:t>
              </m:r>
              <m:r>
                <m:rPr>
                  <m:sty m:val="p"/>
                </m:rPr>
                <m:t>°</m:t>
              </m:r>
              <m:r>
                <m:t>F</m:t>
              </m:r>
            </m:oMath>
          </w:p>
        </w:tc>
        <w:tc>
          <w:tcPr/>
          <w:p>
            <w:pPr>
              <w:pStyle w:val="Compact"/>
              <w:jc w:val="center"/>
            </w:pPr>
            <w:r>
              <w:rPr>
                <w:b/>
                <w:bCs/>
              </w:rPr>
              <w:t xml:space="preserve">Criterio de aceptación</w:t>
            </w:r>
          </w:p>
        </w:tc>
      </w:tr>
      <w:tr>
        <w:tc>
          <w:tcPr/>
          <w:p>
            <w:pPr>
              <w:pStyle w:val="Compact"/>
              <w:jc w:val="left"/>
            </w:pPr>
            <w:r>
              <w:t xml:space="preserve">Tiempo de respuesta (90% del SS)</w:t>
            </w:r>
          </w:p>
        </w:tc>
        <w:tc>
          <w:tcPr/>
          <w:p>
            <w:pPr>
              <w:pStyle w:val="Compact"/>
              <w:jc w:val="center"/>
            </w:pPr>
            <m:oMath>
              <m:r>
                <m:t>4.2</m:t>
              </m:r>
              <m:r>
                <m:t> </m:t>
              </m:r>
              <m:r>
                <m:rPr>
                  <m:nor/>
                  <m:sty m:val="p"/>
                </m:rPr>
                <m:t>min</m:t>
              </m:r>
            </m:oMath>
          </w:p>
        </w:tc>
        <w:tc>
          <w:tcPr/>
          <w:p>
            <w:pPr>
              <w:pStyle w:val="Compact"/>
              <w:jc w:val="center"/>
            </w:pPr>
            <m:oMath>
              <m:r>
                <m:rPr>
                  <m:sty m:val="p"/>
                </m:rPr>
                <m:t>&lt;</m:t>
              </m:r>
              <m:r>
                <m:t>5</m:t>
              </m:r>
              <m:r>
                <m:t> </m:t>
              </m:r>
              <m:r>
                <m:rPr>
                  <m:nor/>
                  <m:sty m:val="p"/>
                </m:rPr>
                <m:t>min</m:t>
              </m:r>
            </m:oMath>
          </w:p>
        </w:tc>
      </w:tr>
      <w:tr>
        <w:tc>
          <w:tcPr/>
          <w:p>
            <w:pPr>
              <w:pStyle w:val="Compact"/>
              <w:jc w:val="left"/>
            </w:pPr>
            <w:r>
              <w:t xml:space="preserve">Tiempo de establecimiento (</w:t>
            </w:r>
            <m:oMath>
              <m:r>
                <m:rPr>
                  <m:sty m:val="p"/>
                </m:rPr>
                <m:t>±</m:t>
              </m:r>
              <m:r>
                <m:t>5</m:t>
              </m:r>
              <m:r>
                <m:rPr>
                  <m:sty m:val="p"/>
                </m:rPr>
                <m:t>%</m:t>
              </m:r>
            </m:oMath>
            <w:r>
              <w:t xml:space="preserve">)</w:t>
            </w:r>
          </w:p>
        </w:tc>
        <w:tc>
          <w:tcPr/>
          <w:p>
            <w:pPr>
              <w:pStyle w:val="Compact"/>
              <w:jc w:val="center"/>
            </w:pPr>
            <m:oMath>
              <m:r>
                <m:t>13.1</m:t>
              </m:r>
              <m:r>
                <m:t> </m:t>
              </m:r>
              <m:r>
                <m:rPr>
                  <m:nor/>
                  <m:sty m:val="p"/>
                </m:rPr>
                <m:t>min</m:t>
              </m:r>
            </m:oMath>
          </w:p>
        </w:tc>
        <w:tc>
          <w:tcPr/>
          <w:p>
            <w:pPr>
              <w:pStyle w:val="Compact"/>
              <w:jc w:val="center"/>
            </w:pPr>
            <m:oMath>
              <m:r>
                <m:rPr>
                  <m:sty m:val="p"/>
                </m:rPr>
                <m:t>&lt;</m:t>
              </m:r>
              <m:r>
                <m:t>15</m:t>
              </m:r>
              <m:r>
                <m:t> </m:t>
              </m:r>
              <m:r>
                <m:rPr>
                  <m:nor/>
                  <m:sty m:val="p"/>
                </m:rPr>
                <m:t>min</m:t>
              </m:r>
            </m:oMath>
          </w:p>
        </w:tc>
      </w:tr>
      <w:tr>
        <w:tc>
          <w:tcPr/>
          <w:p>
            <w:pPr>
              <w:pStyle w:val="Compact"/>
              <w:jc w:val="left"/>
            </w:pPr>
            <w:r>
              <w:t xml:space="preserve">Sobreimpulso</w:t>
            </w:r>
            <w:r>
              <w:t xml:space="preserve"> </w:t>
            </w:r>
            <m:oMath>
              <m:sSub>
                <m:e>
                  <m:r>
                    <m:t>M</m:t>
                  </m:r>
                </m:e>
                <m:sub>
                  <m:r>
                    <m:t>P</m:t>
                  </m:r>
                </m:sub>
              </m:sSub>
            </m:oMath>
          </w:p>
        </w:tc>
        <w:tc>
          <w:tcPr/>
          <w:p>
            <w:pPr>
              <w:pStyle w:val="Compact"/>
              <w:jc w:val="center"/>
            </w:pPr>
            <m:oMath>
              <m:r>
                <m:t>0</m:t>
              </m:r>
              <m:r>
                <m:rPr>
                  <m:sty m:val="p"/>
                </m:rPr>
                <m:t>%</m:t>
              </m:r>
            </m:oMath>
          </w:p>
        </w:tc>
        <w:tc>
          <w:tcPr/>
          <w:p>
            <w:pPr>
              <w:pStyle w:val="Compact"/>
              <w:jc w:val="center"/>
            </w:pPr>
            <m:oMath>
              <m:r>
                <m:rPr>
                  <m:sty m:val="p"/>
                </m:rPr>
                <m:t>&lt;</m:t>
              </m:r>
              <m:r>
                <m:t>20</m:t>
              </m:r>
              <m:r>
                <m:rPr>
                  <m:sty m:val="p"/>
                </m:rPr>
                <m:t>%</m:t>
              </m:r>
            </m:oMath>
          </w:p>
        </w:tc>
      </w:tr>
      <w:tr>
        <w:tc>
          <w:tcPr/>
          <w:p>
            <w:pPr>
              <w:pStyle w:val="Compact"/>
              <w:jc w:val="left"/>
            </w:pPr>
            <w:r>
              <w:t xml:space="preserve">Error en estado estacionario</w:t>
            </w:r>
          </w:p>
        </w:tc>
        <w:tc>
          <w:tcPr/>
          <w:p>
            <w:pPr>
              <w:pStyle w:val="Compact"/>
              <w:jc w:val="center"/>
            </w:pPr>
            <m:oMath>
              <m:r>
                <m:t>0.0</m:t>
              </m:r>
              <m:r>
                <m:t> </m:t>
              </m:r>
              <m:r>
                <m:rPr>
                  <m:sty m:val="p"/>
                </m:rPr>
                <m:t>°</m:t>
              </m:r>
              <m:r>
                <m:t>F</m:t>
              </m:r>
            </m:oMath>
          </w:p>
        </w:tc>
        <w:tc>
          <w:tcPr/>
          <w:p>
            <w:pPr>
              <w:pStyle w:val="Compact"/>
              <w:jc w:val="center"/>
            </w:pPr>
            <w:r>
              <w:t xml:space="preserve">—</w:t>
            </w:r>
          </w:p>
        </w:tc>
      </w:tr>
    </w:tbl>
    <w:bookmarkEnd w:id="28"/>
    <w:bookmarkStart w:id="35" w:name="X662765c4e766e0b06b022374244aa22c223f0e7"/>
    <w:p>
      <w:pPr>
        <w:pStyle w:val="Heading3"/>
      </w:pPr>
      <w:r>
        <w:t xml:space="preserve">4.5.4. Comparación de resultados: Predictor Smith vs. Controlador PI</w:t>
      </w:r>
    </w:p>
    <w:p>
      <w:pPr>
        <w:pStyle w:val="FirstParagraph"/>
      </w:pPr>
      <w:r>
        <w:t xml:space="preserve">Se muestran en las figuras 4.7 y 4.8 las respuestas del lazo de control con Predictor Smith y controlador PI simple para los cuatro valores de</w:t>
      </w:r>
      <w:r>
        <w:t xml:space="preserve"> </w:t>
      </w:r>
      <m:oMath>
        <m:sSub>
          <m:e>
            <m:r>
              <m:t>T</m:t>
            </m:r>
          </m:e>
          <m:sub>
            <m:r>
              <m:t>C</m:t>
            </m:r>
          </m:sub>
        </m:sSub>
      </m:oMath>
      <w:r>
        <w:t xml:space="preserve"> </w:t>
      </w:r>
      <w:r>
        <w:t xml:space="preserve">evaluados en la simulación, aplicadas al modelo del prototipo de laboratorio. Los parámetros de desempeño correspondientes se resumen en la Tabla 4.5.</w:t>
      </w:r>
    </w:p>
    <w:p>
      <w:pPr>
        <w:pStyle w:val="BodyText"/>
      </w:pPr>
      <w:r>
        <w:drawing>
          <wp:inline>
            <wp:extent cx="5334000" cy="3333750"/>
            <wp:effectExtent b="0" l="0" r="0" t="0"/>
            <wp:docPr descr="" title="" id="30" name="Picture"/>
            <a:graphic>
              <a:graphicData uri="http://schemas.openxmlformats.org/drawingml/2006/picture">
                <pic:pic>
                  <pic:nvPicPr>
                    <pic:cNvPr descr="/home/gjanampa/ESP_PROJECTS/Smith_pred_temp_reg/docs/figures/fig_4_1_Tc=2L.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4.7.</w:t>
      </w:r>
      <w:r>
        <w:t xml:space="preserve"> </w:t>
      </w:r>
      <w:r>
        <w:t xml:space="preserve">Respuestas del lazo de control con controlador PI y Predictor Smith sintonizados con</w:t>
      </w:r>
      <w:r>
        <w:t xml:space="preserve"> </w:t>
      </w:r>
      <m:oMath>
        <m:sSub>
          <m:e>
            <m:r>
              <m:t>T</m:t>
            </m:r>
          </m:e>
          <m:sub>
            <m:r>
              <m:t>C</m:t>
            </m:r>
          </m:sub>
        </m:sSub>
        <m:r>
          <m:rPr>
            <m:sty m:val="p"/>
          </m:rPr>
          <m:t>=</m:t>
        </m:r>
        <m:r>
          <m:t>2</m:t>
        </m:r>
        <m:r>
          <m:t>L</m:t>
        </m:r>
      </m:oMath>
      <w:r>
        <w:t xml:space="preserve">.</w:t>
      </w:r>
    </w:p>
    <w:p>
      <w:pPr>
        <w:pStyle w:val="BodyText"/>
      </w:pPr>
      <w:r>
        <w:drawing>
          <wp:inline>
            <wp:extent cx="5334000" cy="3333750"/>
            <wp:effectExtent b="0" l="0" r="0" t="0"/>
            <wp:docPr descr="" title="" id="33" name="Picture"/>
            <a:graphic>
              <a:graphicData uri="http://schemas.openxmlformats.org/drawingml/2006/picture">
                <pic:pic>
                  <pic:nvPicPr>
                    <pic:cNvPr descr="/home/gjanampa/ESP_PROJECTS/Smith_pred_temp_reg/docs/figures/fig_4_2_Tc=L.png" id="34" name="Picture"/>
                    <pic:cNvPicPr>
                      <a:picLocks noChangeArrowheads="1" noChangeAspect="1"/>
                    </pic:cNvPicPr>
                  </pic:nvPicPr>
                  <pic:blipFill>
                    <a:blip r:embed="rId32"/>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rPr>
          <w:b/>
          <w:bCs/>
        </w:rPr>
        <w:t xml:space="preserve">Figura 4.8.</w:t>
      </w:r>
      <w:r>
        <w:t xml:space="preserve"> </w:t>
      </w:r>
      <w:r>
        <w:t xml:space="preserve">Respuestas del lazo de control con controlador PI y Predictor Smith sintonizados con</w:t>
      </w:r>
      <w:r>
        <w:t xml:space="preserve"> </w:t>
      </w:r>
      <m:oMath>
        <m:sSub>
          <m:e>
            <m:r>
              <m:t>T</m:t>
            </m:r>
          </m:e>
          <m:sub>
            <m:r>
              <m:t>C</m:t>
            </m:r>
          </m:sub>
        </m:sSub>
        <m:r>
          <m:rPr>
            <m:sty m:val="p"/>
          </m:rPr>
          <m:t>=</m:t>
        </m:r>
        <m:r>
          <m:t>L</m:t>
        </m:r>
      </m:oMath>
      <w:r>
        <w:t xml:space="preserve">.</w:t>
      </w:r>
    </w:p>
    <w:p>
      <w:pPr>
        <w:pStyle w:val="BodyText"/>
      </w:pPr>
      <w:r>
        <w:rPr>
          <w:b/>
          <w:bCs/>
        </w:rPr>
        <w:t xml:space="preserve">Tabla 4.5.</w:t>
      </w:r>
      <w:r>
        <w:t xml:space="preserve"> </w:t>
      </w:r>
      <w:r>
        <w:t xml:space="preserve">Parámetros de desempeño comparativos: Predictor Smith vs. Controlador PI (escalón</w:t>
      </w:r>
      <w:r>
        <w:t xml:space="preserve"> </w:t>
      </w:r>
      <m:oMath>
        <m:r>
          <m:t>80</m:t>
        </m:r>
        <m:r>
          <m:rPr>
            <m:sty m:val="p"/>
          </m:rPr>
          <m:t>→</m:t>
        </m:r>
        <m:r>
          <m:t>95</m:t>
        </m:r>
        <m:r>
          <m:t> </m:t>
        </m:r>
        <m:r>
          <m:rPr>
            <m:sty m:val="p"/>
          </m:rPr>
          <m:t>°</m:t>
        </m:r>
        <m:r>
          <m:t>F</m:t>
        </m:r>
      </m:oMath>
      <w:r>
        <w:t xml:space="preserve">, criterio</w:t>
      </w:r>
      <w:r>
        <w:t xml:space="preserve"> </w:t>
      </w:r>
      <m:oMath>
        <m:r>
          <m:rPr>
            <m:sty m:val="p"/>
          </m:rPr>
          <m:t>±</m:t>
        </m:r>
        <m:r>
          <m:t>5</m:t>
        </m:r>
        <m:r>
          <m:rPr>
            <m:sty m:val="p"/>
          </m:rPr>
          <m:t>%</m:t>
        </m:r>
      </m:oMath>
      <w:r>
        <w:t xml:space="preserv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p>
        </w:tc>
        <w:tc>
          <w:tcPr/>
          <w:p>
            <w:pPr>
              <w:pStyle w:val="Compact"/>
              <w:jc w:val="left"/>
            </w:pPr>
            <m:oMath>
              <m:sSub>
                <m:e>
                  <m:r>
                    <m:t>T</m:t>
                  </m:r>
                </m:e>
                <m:sub>
                  <m:r>
                    <m:t>C</m:t>
                  </m:r>
                </m:sub>
              </m:sSub>
              <m:r>
                <m:rPr>
                  <m:sty m:val="p"/>
                </m:rPr>
                <m:t>=</m:t>
              </m:r>
              <m:r>
                <m:t>2</m:t>
              </m:r>
              <m:r>
                <m:t>L</m:t>
              </m:r>
            </m:oMath>
          </w:p>
        </w:tc>
        <w:tc>
          <w:tcPr/>
          <w:p>
            <w:pPr>
              <w:pStyle w:val="Compact"/>
            </w:pPr>
          </w:p>
        </w:tc>
        <w:tc>
          <w:tcPr/>
          <w:p>
            <w:pPr>
              <w:pStyle w:val="Compact"/>
              <w:jc w:val="left"/>
            </w:pPr>
            <m:oMath>
              <m:sSub>
                <m:e>
                  <m:r>
                    <m:t>T</m:t>
                  </m:r>
                </m:e>
                <m:sub>
                  <m:r>
                    <m:t>C</m:t>
                  </m:r>
                </m:sub>
              </m:sSub>
              <m:r>
                <m:rPr>
                  <m:sty m:val="p"/>
                </m:rPr>
                <m:t>=</m:t>
              </m:r>
              <m:r>
                <m:t>L</m:t>
              </m:r>
            </m:oMath>
          </w:p>
        </w:tc>
        <w:tc>
          <w:tcPr/>
          <w:p>
            <w:pPr>
              <w:pStyle w:val="Compact"/>
            </w:pPr>
          </w:p>
        </w:tc>
        <w:tc>
          <w:tcPr/>
          <w:p>
            <w:pPr>
              <w:pStyle w:val="Compact"/>
              <w:jc w:val="left"/>
            </w:pPr>
            <m:oMath>
              <m:sSub>
                <m:e>
                  <m:r>
                    <m:t>T</m:t>
                  </m:r>
                </m:e>
                <m:sub>
                  <m:r>
                    <m:t>C</m:t>
                  </m:r>
                </m:sub>
              </m:sSub>
              <m:r>
                <m:rPr>
                  <m:sty m:val="p"/>
                </m:rPr>
                <m:t>=</m:t>
              </m:r>
              <m:r>
                <m:t>L</m:t>
              </m:r>
              <m:r>
                <m:rPr>
                  <m:sty m:val="p"/>
                </m:rPr>
                <m:t>/</m:t>
              </m:r>
              <m:r>
                <m:t>2</m:t>
              </m:r>
            </m:oMath>
          </w:p>
        </w:tc>
        <w:tc>
          <w:tcPr/>
          <w:p>
            <w:pPr>
              <w:pStyle w:val="Compact"/>
            </w:pPr>
          </w:p>
        </w:tc>
        <w:tc>
          <w:tcPr/>
          <w:p>
            <w:pPr>
              <w:pStyle w:val="Compact"/>
              <w:jc w:val="left"/>
            </w:pPr>
            <m:oMath>
              <m:sSub>
                <m:e>
                  <m:r>
                    <m:t>T</m:t>
                  </m:r>
                </m:e>
                <m:sub>
                  <m:r>
                    <m:t>C</m:t>
                  </m:r>
                </m:sub>
              </m:sSub>
              <m:r>
                <m:rPr>
                  <m:sty m:val="p"/>
                </m:rPr>
                <m:t>=</m:t>
              </m:r>
              <m:r>
                <m:t>L</m:t>
              </m:r>
              <m:r>
                <m:rPr>
                  <m:sty m:val="p"/>
                </m:rPr>
                <m:t>/</m:t>
              </m:r>
              <m:r>
                <m:t>4</m:t>
              </m:r>
            </m:oMath>
          </w:p>
        </w:tc>
        <w:tc>
          <w:tcPr/>
          <w:p>
            <w:pPr>
              <w:pStyle w:val="Compact"/>
            </w:pPr>
          </w:p>
        </w:tc>
      </w:tr>
      <w:tr>
        <w:tc>
          <w:tcPr/>
          <w:p>
            <w:pPr>
              <w:pStyle w:val="Compact"/>
            </w:pPr>
          </w:p>
        </w:tc>
        <w:tc>
          <w:tcPr/>
          <w:p>
            <w:pPr>
              <w:pStyle w:val="Compact"/>
              <w:jc w:val="left"/>
            </w:pPr>
            <m:oMath>
              <m:sSub>
                <m:e>
                  <m:r>
                    <m:t>M</m:t>
                  </m:r>
                </m:e>
                <m:sub>
                  <m:r>
                    <m:t>P</m:t>
                  </m:r>
                </m:sub>
              </m:sSub>
            </m:oMath>
          </w:p>
        </w:tc>
        <w:tc>
          <w:tcPr/>
          <w:p>
            <w:pPr>
              <w:pStyle w:val="Compact"/>
              <w:jc w:val="left"/>
            </w:pPr>
            <m:oMath>
              <m:sSub>
                <m:e>
                  <m:r>
                    <m:t>t</m:t>
                  </m:r>
                </m:e>
                <m:sub>
                  <m:r>
                    <m:t>s</m:t>
                  </m:r>
                </m:sub>
              </m:sSub>
            </m:oMath>
          </w:p>
        </w:tc>
        <w:tc>
          <w:tcPr/>
          <w:p>
            <w:pPr>
              <w:pStyle w:val="Compact"/>
              <w:jc w:val="left"/>
            </w:pPr>
            <m:oMath>
              <m:sSub>
                <m:e>
                  <m:r>
                    <m:t>M</m:t>
                  </m:r>
                </m:e>
                <m:sub>
                  <m:r>
                    <m:t>P</m:t>
                  </m:r>
                </m:sub>
              </m:sSub>
            </m:oMath>
          </w:p>
        </w:tc>
        <w:tc>
          <w:tcPr/>
          <w:p>
            <w:pPr>
              <w:pStyle w:val="Compact"/>
              <w:jc w:val="left"/>
            </w:pPr>
            <m:oMath>
              <m:sSub>
                <m:e>
                  <m:r>
                    <m:t>t</m:t>
                  </m:r>
                </m:e>
                <m:sub>
                  <m:r>
                    <m:t>s</m:t>
                  </m:r>
                </m:sub>
              </m:sSub>
            </m:oMath>
          </w:p>
        </w:tc>
        <w:tc>
          <w:tcPr/>
          <w:p>
            <w:pPr>
              <w:pStyle w:val="Compact"/>
              <w:jc w:val="left"/>
            </w:pPr>
            <m:oMath>
              <m:sSub>
                <m:e>
                  <m:r>
                    <m:t>M</m:t>
                  </m:r>
                </m:e>
                <m:sub>
                  <m:r>
                    <m:t>P</m:t>
                  </m:r>
                </m:sub>
              </m:sSub>
            </m:oMath>
          </w:p>
        </w:tc>
        <w:tc>
          <w:tcPr/>
          <w:p>
            <w:pPr>
              <w:pStyle w:val="Compact"/>
              <w:jc w:val="left"/>
            </w:pPr>
            <m:oMath>
              <m:sSub>
                <m:e>
                  <m:r>
                    <m:t>t</m:t>
                  </m:r>
                </m:e>
                <m:sub>
                  <m:r>
                    <m:t>s</m:t>
                  </m:r>
                </m:sub>
              </m:sSub>
            </m:oMath>
          </w:p>
        </w:tc>
        <w:tc>
          <w:tcPr/>
          <w:p>
            <w:pPr>
              <w:pStyle w:val="Compact"/>
              <w:jc w:val="left"/>
            </w:pPr>
            <m:oMath>
              <m:sSub>
                <m:e>
                  <m:r>
                    <m:t>M</m:t>
                  </m:r>
                </m:e>
                <m:sub>
                  <m:r>
                    <m:t>P</m:t>
                  </m:r>
                </m:sub>
              </m:sSub>
            </m:oMath>
          </w:p>
        </w:tc>
        <w:tc>
          <w:tcPr/>
          <w:p>
            <w:pPr>
              <w:pStyle w:val="Compact"/>
              <w:jc w:val="left"/>
            </w:pPr>
            <m:oMath>
              <m:sSub>
                <m:e>
                  <m:r>
                    <m:t>t</m:t>
                  </m:r>
                </m:e>
                <m:sub>
                  <m:r>
                    <m:t>s</m:t>
                  </m:r>
                </m:sub>
              </m:sSub>
            </m:oMath>
          </w:p>
        </w:tc>
      </w:tr>
      <w:tr>
        <w:tc>
          <w:tcPr/>
          <w:p>
            <w:pPr>
              <w:pStyle w:val="Compact"/>
              <w:jc w:val="left"/>
            </w:pPr>
            <w:r>
              <w:t xml:space="preserve">Controlador PI</w:t>
            </w:r>
          </w:p>
        </w:tc>
        <w:tc>
          <w:tcPr/>
          <w:p>
            <w:pPr>
              <w:pStyle w:val="Compact"/>
              <w:jc w:val="left"/>
            </w:pPr>
            <w:r>
              <w:t xml:space="preserve">—</w:t>
            </w:r>
          </w:p>
        </w:tc>
        <w:tc>
          <w:tcPr/>
          <w:p>
            <w:pPr>
              <w:pStyle w:val="Compact"/>
              <w:jc w:val="left"/>
            </w:pPr>
            <m:oMath>
              <m:r>
                <m:t>777</m:t>
              </m:r>
              <m:r>
                <m:t> </m:t>
              </m:r>
              <m:r>
                <m:rPr>
                  <m:nor/>
                  <m:sty m:val="p"/>
                </m:rPr>
                <m:t>s</m:t>
              </m:r>
            </m:oMath>
          </w:p>
        </w:tc>
        <w:tc>
          <w:tcPr/>
          <w:p>
            <w:pPr>
              <w:pStyle w:val="Compact"/>
              <w:jc w:val="left"/>
            </w:pPr>
            <w:r>
              <w:t xml:space="preserve">—</w:t>
            </w:r>
          </w:p>
        </w:tc>
        <w:tc>
          <w:tcPr/>
          <w:p>
            <w:pPr>
              <w:pStyle w:val="Compact"/>
              <w:jc w:val="left"/>
            </w:pPr>
            <m:oMath>
              <m:r>
                <m:t>786</m:t>
              </m:r>
              <m:r>
                <m:t> </m:t>
              </m:r>
              <m:r>
                <m:rPr>
                  <m:nor/>
                  <m:sty m:val="p"/>
                </m:rPr>
                <m:t>s</m:t>
              </m:r>
            </m:oMath>
          </w:p>
        </w:tc>
        <w:tc>
          <w:tcPr/>
          <w:p>
            <w:pPr>
              <w:pStyle w:val="Compact"/>
              <w:jc w:val="left"/>
            </w:pPr>
            <w:r>
              <w:t xml:space="preserve">—</w:t>
            </w:r>
          </w:p>
        </w:tc>
        <w:tc>
          <w:tcPr/>
          <w:p>
            <w:pPr>
              <w:pStyle w:val="Compact"/>
              <w:jc w:val="left"/>
            </w:pPr>
            <m:oMath>
              <m:r>
                <m:t>810</m:t>
              </m:r>
              <m:r>
                <m:t> </m:t>
              </m:r>
              <m:r>
                <m:rPr>
                  <m:nor/>
                  <m:sty m:val="p"/>
                </m:rPr>
                <m:t>s</m:t>
              </m:r>
            </m:oMath>
          </w:p>
        </w:tc>
        <w:tc>
          <w:tcPr/>
          <w:p>
            <w:pPr>
              <w:pStyle w:val="Compact"/>
              <w:jc w:val="left"/>
            </w:pPr>
            <w:r>
              <w:t xml:space="preserve">—</w:t>
            </w:r>
          </w:p>
        </w:tc>
        <w:tc>
          <w:tcPr/>
          <w:p>
            <w:pPr>
              <w:pStyle w:val="Compact"/>
              <w:jc w:val="left"/>
            </w:pPr>
            <m:oMath>
              <m:r>
                <m:t>780</m:t>
              </m:r>
              <m:r>
                <m:t> </m:t>
              </m:r>
              <m:r>
                <m:rPr>
                  <m:nor/>
                  <m:sty m:val="p"/>
                </m:rPr>
                <m:t>s</m:t>
              </m:r>
            </m:oMath>
          </w:p>
        </w:tc>
      </w:tr>
      <w:tr>
        <w:tc>
          <w:tcPr/>
          <w:p>
            <w:pPr>
              <w:pStyle w:val="Compact"/>
              <w:jc w:val="left"/>
            </w:pPr>
            <w:r>
              <w:t xml:space="preserve">Predictor Smith+PI</w:t>
            </w:r>
          </w:p>
        </w:tc>
        <w:tc>
          <w:tcPr/>
          <w:p>
            <w:pPr>
              <w:pStyle w:val="Compact"/>
              <w:jc w:val="left"/>
            </w:pPr>
            <w:r>
              <w:t xml:space="preserve">—</w:t>
            </w:r>
          </w:p>
        </w:tc>
        <w:tc>
          <w:tcPr/>
          <w:p>
            <w:pPr>
              <w:pStyle w:val="Compact"/>
              <w:jc w:val="left"/>
            </w:pPr>
            <m:oMath>
              <m:r>
                <m:t>795</m:t>
              </m:r>
              <m:r>
                <m:t> </m:t>
              </m:r>
              <m:r>
                <m:rPr>
                  <m:nor/>
                  <m:sty m:val="p"/>
                </m:rPr>
                <m:t>s</m:t>
              </m:r>
            </m:oMath>
          </w:p>
        </w:tc>
        <w:tc>
          <w:tcPr/>
          <w:p>
            <w:pPr>
              <w:pStyle w:val="Compact"/>
              <w:jc w:val="left"/>
            </w:pPr>
            <w:r>
              <w:t xml:space="preserve">—</w:t>
            </w:r>
          </w:p>
        </w:tc>
        <w:tc>
          <w:tcPr/>
          <w:p>
            <w:pPr>
              <w:pStyle w:val="Compact"/>
              <w:jc w:val="left"/>
            </w:pPr>
            <m:oMath>
              <m:r>
                <m:t>777</m:t>
              </m:r>
              <m:r>
                <m:t> </m:t>
              </m:r>
              <m:r>
                <m:rPr>
                  <m:nor/>
                  <m:sty m:val="p"/>
                </m:rPr>
                <m:t>s</m:t>
              </m:r>
            </m:oMath>
          </w:p>
        </w:tc>
        <w:tc>
          <w:tcPr/>
          <w:p>
            <w:pPr>
              <w:pStyle w:val="Compact"/>
              <w:jc w:val="left"/>
            </w:pPr>
            <w:r>
              <w:t xml:space="preserve">—</w:t>
            </w:r>
          </w:p>
        </w:tc>
        <w:tc>
          <w:tcPr/>
          <w:p>
            <w:pPr>
              <w:pStyle w:val="Compact"/>
              <w:jc w:val="left"/>
            </w:pPr>
            <m:oMath>
              <m:r>
                <m:t>781</m:t>
              </m:r>
              <m:r>
                <m:t> </m:t>
              </m:r>
              <m:r>
                <m:rPr>
                  <m:nor/>
                  <m:sty m:val="p"/>
                </m:rPr>
                <m:t>s</m:t>
              </m:r>
            </m:oMath>
          </w:p>
        </w:tc>
        <w:tc>
          <w:tcPr/>
          <w:p>
            <w:pPr>
              <w:pStyle w:val="Compact"/>
              <w:jc w:val="left"/>
            </w:pPr>
            <w:r>
              <w:t xml:space="preserve">—</w:t>
            </w:r>
          </w:p>
        </w:tc>
        <w:tc>
          <w:tcPr/>
          <w:p>
            <w:pPr>
              <w:pStyle w:val="Compact"/>
              <w:jc w:val="left"/>
            </w:pPr>
            <m:oMath>
              <m:r>
                <m:t>794</m:t>
              </m:r>
              <m:r>
                <m:t> </m:t>
              </m:r>
              <m:r>
                <m:rPr>
                  <m:nor/>
                  <m:sty m:val="p"/>
                </m:rPr>
                <m:t>s</m:t>
              </m:r>
            </m:oMath>
          </w:p>
        </w:tc>
      </w:tr>
      <w:tr>
        <w:tc>
          <w:tcPr/>
          <w:p>
            <w:pPr>
              <w:pStyle w:val="Compact"/>
              <w:jc w:val="left"/>
            </w:pPr>
            <w:r>
              <w:t xml:space="preserve">Predictor Smith (FW,</w:t>
            </w:r>
            <w:r>
              <w:t xml:space="preserve"> </w:t>
            </w:r>
            <m:oMath>
              <m:sSub>
                <m:e>
                  <m:r>
                    <m:t>T</m:t>
                  </m:r>
                </m:e>
                <m:sub>
                  <m:r>
                    <m:t>c</m:t>
                  </m:r>
                </m:sub>
              </m:sSub>
              <m:r>
                <m:rPr>
                  <m:sty m:val="p"/>
                </m:rPr>
                <m:t>=</m:t>
              </m:r>
              <m:sSub>
                <m:e>
                  <m:r>
                    <m:t>t</m:t>
                  </m:r>
                </m:e>
                <m:sub>
                  <m:r>
                    <m:t>0</m:t>
                  </m:r>
                </m:sub>
              </m:sSub>
              <m:r>
                <m:rPr>
                  <m:sty m:val="p"/>
                </m:rPr>
                <m:t>/</m:t>
              </m:r>
              <m:r>
                <m:t>10</m:t>
              </m:r>
            </m:oMath>
            <w:r>
              <w:t xml:space="preserve">)</w:t>
            </w:r>
          </w:p>
        </w:tc>
        <w:tc>
          <w:tcPr/>
          <w:p>
            <w:pPr>
              <w:pStyle w:val="Compact"/>
              <w:jc w:val="left"/>
            </w:pPr>
            <m:oMath>
              <m:r>
                <m:t>0</m:t>
              </m:r>
              <m:r>
                <m:rPr>
                  <m:sty m:val="p"/>
                </m:rPr>
                <m:t>%</m:t>
              </m:r>
            </m:oMath>
          </w:p>
        </w:tc>
        <w:tc>
          <w:tcPr/>
          <w:p>
            <w:pPr>
              <w:pStyle w:val="Compact"/>
              <w:jc w:val="left"/>
            </w:pPr>
            <m:oMath>
              <m:r>
                <m:t>784</m:t>
              </m:r>
              <m:r>
                <m:t> </m:t>
              </m:r>
              <m:r>
                <m:rPr>
                  <m:nor/>
                  <m:sty m:val="p"/>
                </m:rPr>
                <m:t>s</m:t>
              </m:r>
            </m:oMath>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De acuerdo con la Tabla 4.5, para los valores conservadores de</w:t>
      </w:r>
      <w:r>
        <w:t xml:space="preserve"> </w:t>
      </w:r>
      <m:oMath>
        <m:sSub>
          <m:e>
            <m:r>
              <m:t>T</m:t>
            </m:r>
          </m:e>
          <m:sub>
            <m:r>
              <m:t>C</m:t>
            </m:r>
          </m:sub>
        </m:sSub>
        <m:r>
          <m:rPr>
            <m:sty m:val="p"/>
          </m:rPr>
          <m:t>∈</m:t>
        </m:r>
        <m:r>
          <m:rPr>
            <m:sty m:val="p"/>
          </m:rPr>
          <m:t>{</m:t>
        </m:r>
        <m:r>
          <m:t>2</m:t>
        </m:r>
        <m:r>
          <m:t>L</m:t>
        </m:r>
        <m:r>
          <m:rPr>
            <m:sty m:val="p"/>
          </m:rPr>
          <m:t>,</m:t>
        </m:r>
        <m:r>
          <m:t>L</m:t>
        </m:r>
        <m:r>
          <m:rPr>
            <m:sty m:val="p"/>
          </m:rPr>
          <m:t>,</m:t>
        </m:r>
        <m:r>
          <m:t>L</m:t>
        </m:r>
        <m:r>
          <m:rPr>
            <m:sty m:val="p"/>
          </m:rPr>
          <m:t>/</m:t>
        </m:r>
        <m:r>
          <m:t>2</m:t>
        </m:r>
        <m:r>
          <m:rPr>
            <m:sty m:val="p"/>
          </m:rPr>
          <m:t>,</m:t>
        </m:r>
        <m:r>
          <m:t>L</m:t>
        </m:r>
        <m:r>
          <m:rPr>
            <m:sty m:val="p"/>
          </m:rPr>
          <m:t>/</m:t>
        </m:r>
        <m:r>
          <m:t>4</m:t>
        </m:r>
        <m:r>
          <m:rPr>
            <m:sty m:val="p"/>
          </m:rPr>
          <m:t>}</m:t>
        </m:r>
      </m:oMath>
      <w:r>
        <w:t xml:space="preserve"> </w:t>
      </w:r>
      <w:r>
        <w:t xml:space="preserve">el Predictor Smith y el controlador PI alcanzan tiempos de establecimiento similares, sin sobreimpulso en ninguno de los casos. Este comportamiento es consistente con la razón de dominancia del retardo del prototipo (</w:t>
      </w:r>
      <m:oMath>
        <m:sSub>
          <m:e>
            <m:r>
              <m:t>t</m:t>
            </m:r>
          </m:e>
          <m:sub>
            <m:r>
              <m:t>0</m:t>
            </m:r>
          </m:sub>
        </m:sSub>
        <m:r>
          <m:rPr>
            <m:sty m:val="p"/>
          </m:rPr>
          <m:t>/</m:t>
        </m:r>
        <m:r>
          <m:t>τ</m:t>
        </m:r>
        <m:r>
          <m:rPr>
            <m:sty m:val="p"/>
          </m:rPr>
          <m:t>=</m:t>
        </m:r>
        <m:r>
          <m:t>0.044</m:t>
        </m:r>
      </m:oMath>
      <w:r>
        <w:t xml:space="preserve">), la cual indica que el retardo no es el factor dominante en la dinámica del lazo cerrado.</w:t>
      </w:r>
    </w:p>
    <w:p>
      <w:pPr>
        <w:pStyle w:val="BodyText"/>
      </w:pPr>
      <w:r>
        <w:t xml:space="preserve">Sin embargo, para la sintonía del firmware con constante de ajuste</w:t>
      </w:r>
      <w:r>
        <w:t xml:space="preserve"> </w:t>
      </w:r>
      <m:oMath>
        <m:sSub>
          <m:e>
            <m:r>
              <m:t>T</m:t>
            </m:r>
          </m:e>
          <m:sub>
            <m:r>
              <m:t>C</m:t>
            </m:r>
          </m:sub>
        </m:sSub>
        <m:r>
          <m:rPr>
            <m:sty m:val="p"/>
          </m:rPr>
          <m:t>=</m:t>
        </m:r>
        <m:sSub>
          <m:e>
            <m:r>
              <m:t>t</m:t>
            </m:r>
          </m:e>
          <m:sub>
            <m:r>
              <m:t>0</m:t>
            </m:r>
          </m:sub>
        </m:sSub>
        <m:r>
          <m:rPr>
            <m:sty m:val="p"/>
          </m:rPr>
          <m:t>/</m:t>
        </m:r>
        <m:r>
          <m:t>10</m:t>
        </m:r>
        <m:r>
          <m:rPr>
            <m:sty m:val="p"/>
          </m:rPr>
          <m:t>=</m:t>
        </m:r>
        <m:r>
          <m:t>2.194</m:t>
        </m:r>
        <m:r>
          <m:t> </m:t>
        </m:r>
        <m:r>
          <m:rPr>
            <m:nor/>
            <m:sty m:val="p"/>
          </m:rPr>
          <m:t>s</m:t>
        </m:r>
      </m:oMath>
      <w:r>
        <w:t xml:space="preserve">, el Predictor Smith logra estabilizar el sistema de manera óptima, mientras que un controlador PI simple sin compensación de retardo presentaría inestabilidad marginal y oscilaciones sostenidas bajo esta misma sintonía agresiva de alta ganancia. Esto demuestra que la compensación del Predictor Smith resulta determinante para garantizar el correcto funcionamiento del lazo cerrado ante requerimientos de respuesta rápidos.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2026-07-02T04:40:19Z</dcterms:created>
  <dcterms:modified xsi:type="dcterms:W3CDTF">2026-07-02T04:40:19Z</dcterms:modified>
</cp:coreProperties>
</file>

<file path=docProps/custom.xml><?xml version="1.0" encoding="utf-8"?>
<Properties xmlns="http://schemas.openxmlformats.org/officeDocument/2006/custom-properties" xmlns:vt="http://schemas.openxmlformats.org/officeDocument/2006/docPropsVTypes"/>
</file>