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120" w:type="dxa"/>
        </w:tblCellMar>
      </w:tblPr>
      <w:tblGrid>
        <w:gridCol w:w="5669280"/>
        <w:gridCol w:w="1188720"/>
      </w:tblGrid>
      <w:tr>
        <w:tc>
          <w:tcPr>
            <w:tcW w:type="dxa" w:w="8928"/>
            <w:vAlign w:val="center"/>
          </w:tcPr>
          <w:p w:rsidR="00000000" w:rsidDel="00000000" w:rsidP="00000000" w:rsidRDefault="00000000" w:rsidRPr="00000000" w14:paraId="00000001">
            <w:pPr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40"/>
                <w:szCs w:val="40"/>
                <w:rtl w:val="0"/>
              </w:rPr>
              <w:t xml:space="preserve">JOSE VIGIL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555555"/>
                <w:sz w:val="21"/>
                <w:szCs w:val="21"/>
                <w:rtl w:val="0"/>
              </w:rPr>
              <w:t xml:space="preserve">AI Infrastructure &amp; Governance Architect  |  Distributed Systems  |  25+ Years Building End-to-End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7"/>
                <w:szCs w:val="17"/>
                <w:rtl w:val="0"/>
              </w:rPr>
              <w:t xml:space="preserve">Buenos Aires, Argentina (Remote)   ·   josemanuelvigil@gmail.com   ·   </w:t>
            </w:r>
            <w:hyperlink r:id="rId7">
              <w:r w:rsidDel="00000000" w:rsidR="00000000" w:rsidRPr="00000000">
                <w:rPr>
                  <w:rFonts w:ascii="Calibri" w:cs="Calibri" w:eastAsia="Calibri" w:hAnsi="Calibri"/>
                  <w:color w:val="1f3864"/>
                  <w:sz w:val="17"/>
                  <w:szCs w:val="17"/>
                  <w:u w:val="single"/>
                  <w:rtl w:val="0"/>
                </w:rPr>
                <w:t xml:space="preserve">linkedin.com/in/josevigil</w:t>
              </w:r>
            </w:hyperlink>
            <w:r w:rsidDel="00000000" w:rsidR="00000000" w:rsidRPr="00000000">
              <w:rPr>
                <w:rFonts w:ascii="Calibri" w:cs="Calibri" w:eastAsia="Calibri" w:hAnsi="Calibri"/>
                <w:color w:val="555555"/>
                <w:sz w:val="17"/>
                <w:szCs w:val="17"/>
                <w:rtl w:val="0"/>
              </w:rPr>
              <w:t xml:space="preserve">   ·   </w:t>
            </w:r>
            <w:hyperlink r:id="rId8">
              <w:r w:rsidDel="00000000" w:rsidR="00000000" w:rsidRPr="00000000">
                <w:rPr>
                  <w:rFonts w:ascii="Calibri" w:cs="Calibri" w:eastAsia="Calibri" w:hAnsi="Calibri"/>
                  <w:color w:val="1f3864"/>
                  <w:sz w:val="17"/>
                  <w:szCs w:val="17"/>
                  <w:u w:val="single"/>
                  <w:rtl w:val="0"/>
                </w:rPr>
                <w:t xml:space="preserve">josevigil.com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drawing>
                <wp:inline>
                  <wp:extent cx="960120" cy="9601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ose_vigil_cv_photo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04">
      <w:pPr>
        <w:pBdr>
          <w:bottom w:color="1f3864" w:space="1" w:sz="6" w:val="single"/>
        </w:pBdr>
        <w:spacing w:after="10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Systems architect and founder-engineer with 25+ years building distributed infrastructure end to end, from IoT and mobile platforms with 5 granted patents to AI Systems today. Currently architecting Cognituum, a provider-agnostic governance layer (Go, Python, C++, TypeScript) that gives persistent, semantic context to LLM-assisted engineering work across sessions and models (Claude, Codex, Gemini). Proven ability to design complex distributed systems from scratch, lead technical teams, and translate deep engineering judgment into products non-technical stakeholders can act on. Seeking senior remote or contract roles in AI agent architecture, AI governance, or applied AI infrastructure.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cccccc" w:space="2" w:sz="4" w:val="single"/>
        </w:pBdr>
        <w:spacing w:after="6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19"/>
          <w:szCs w:val="19"/>
          <w:rtl w:val="0"/>
        </w:rPr>
        <w:t xml:space="preserve">AI SYSTEMS: TECHNICAL HIGHLIGHTS (COGNITUUM)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" w:before="10" w:lineRule="auto"/>
        <w:ind w:left="200" w:hanging="140"/>
        <w:rPr/>
      </w:pPr>
      <w:r w:rsidDel="00000000" w:rsidR="00000000" w:rsidRPr="00000000">
        <w:rPr>
          <w:rFonts w:ascii="Calibri" w:cs="Calibri" w:eastAsia="Calibri" w:hAnsi="Calibri"/>
          <w:color w:val="1f3864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22222"/>
          <w:sz w:val="18"/>
          <w:szCs w:val="18"/>
          <w:rtl w:val="0"/>
        </w:rPr>
        <w:t xml:space="preserve">Architected a distributed AI-governance ecosystem: core services in Go (governance, event bus, state reconciliation, presence runtime), a Python execution engine, a native C++ bridge, TypeScript/Node.js services, a Chrome extension, and a native desktop governance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" w:before="10" w:lineRule="auto"/>
        <w:ind w:left="200" w:hanging="140"/>
        <w:rPr/>
      </w:pPr>
      <w:r w:rsidDel="00000000" w:rsidR="00000000" w:rsidRPr="00000000">
        <w:rPr>
          <w:rFonts w:ascii="Calibri" w:cs="Calibri" w:eastAsia="Calibri" w:hAnsi="Calibri"/>
          <w:color w:val="1f3864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22222"/>
          <w:sz w:val="18"/>
          <w:szCs w:val="18"/>
          <w:rtl w:val="0"/>
        </w:rPr>
        <w:t xml:space="preserve">Integrated local LLMs via Ollama and semantic vectorization of files/intents via ChromaDB (RAG) to give real, persistent context to technical decisions across tools and providers.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0" w:before="10" w:lineRule="auto"/>
        <w:ind w:left="200" w:hanging="140"/>
        <w:rPr/>
      </w:pPr>
      <w:r w:rsidDel="00000000" w:rsidR="00000000" w:rsidRPr="00000000">
        <w:rPr>
          <w:rFonts w:ascii="Calibri" w:cs="Calibri" w:eastAsia="Calibri" w:hAnsi="Calibri"/>
          <w:color w:val="1f3864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22222"/>
          <w:sz w:val="18"/>
          <w:szCs w:val="18"/>
          <w:rtl w:val="0"/>
        </w:rPr>
        <w:t xml:space="preserve">Real-time system communication over WebSocket, orchestrated with Temporal; access control built on OAuth and Zero Trust. Provider-agnostic by design, it coordinates context across multiple AI providers (Claude, ChatGPT, Gemini, Grok) through a self-built governance layer, independent of any single vendor protocol.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" w:before="10" w:lineRule="auto"/>
        <w:ind w:left="200" w:hanging="140"/>
        <w:rPr/>
      </w:pPr>
      <w:r w:rsidDel="00000000" w:rsidR="00000000" w:rsidRPr="00000000">
        <w:rPr>
          <w:rFonts w:ascii="Calibri" w:cs="Calibri" w:eastAsia="Calibri" w:hAnsi="Calibri"/>
          <w:color w:val="1f3864"/>
          <w:sz w:val="18"/>
          <w:szCs w:val="18"/>
          <w:rtl w:val="0"/>
        </w:rPr>
        <w:t xml:space="preserve">•  </w:t>
      </w:r>
      <w:r w:rsidDel="00000000" w:rsidR="00000000" w:rsidRPr="00000000">
        <w:rPr>
          <w:rFonts w:ascii="Calibri" w:cs="Calibri" w:eastAsia="Calibri" w:hAnsi="Calibri"/>
          <w:color w:val="222222"/>
          <w:sz w:val="18"/>
          <w:szCs w:val="18"/>
          <w:rtl w:val="0"/>
        </w:rPr>
        <w:t xml:space="preserve">End-to-end ownership: local runtime through remote cloud control plane, covering protocol design, multi-language systems integration, and applied local-AI/embeddings architecture.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bottom w:color="cccccc" w:space="2" w:sz="4" w:val="single"/>
        </w:pBdr>
        <w:spacing w:after="6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19"/>
          <w:szCs w:val="19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right" w:leader="none" w:pos="9026"/>
        </w:tabs>
        <w:spacing w:after="20" w:before="9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Founder,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22222"/>
          <w:sz w:val="19"/>
          <w:szCs w:val="19"/>
          <w:rtl w:val="0"/>
        </w:rPr>
        <w:t xml:space="preserve">Cognituum, AI Governance Research Initiative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Current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Designing and building the provider-agnostic governance layer described above; output is a working system and an in-progress framework specification intended as a foundation for future protocols/standards.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9026"/>
        </w:tabs>
        <w:spacing w:after="20" w:before="9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Co-Founder,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22222"/>
          <w:sz w:val="19"/>
          <w:szCs w:val="19"/>
          <w:rtl w:val="0"/>
        </w:rPr>
        <w:t xml:space="preserve">Bloomaut 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Co-founded (3 co-founders) a platform for human-validated content creation. Built agent pipelines and full-stack mobile applications (iOS/Android) with FFmpeg-based video compilation, plus supporting frontend and backend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9026"/>
        </w:tabs>
        <w:spacing w:after="20" w:before="9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Founder,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22222"/>
          <w:sz w:val="19"/>
          <w:szCs w:val="19"/>
          <w:rtl w:val="0"/>
        </w:rPr>
        <w:t xml:space="preserve">Notimation 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2018 – 2025, Argentina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Founded and ran a full B2B SMS/communications platform with a public API, serving 150+ business clients. Owned the product end to end: production servers and uptime, client-facing relationship management, and support. This was the company's primary income source through 2025.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026"/>
        </w:tabs>
        <w:spacing w:after="20" w:before="9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Senior IT Consultant,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22222"/>
          <w:sz w:val="19"/>
          <w:szCs w:val="19"/>
          <w:rtl w:val="0"/>
        </w:rPr>
        <w:t xml:space="preserve">Freelance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2017 – Present, Argentina (Remote)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Diagnose infrastructure/software issues to root cause; advise on MVP-to-funnel product validation and technology planning aligned with growth projections.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026"/>
        </w:tabs>
        <w:spacing w:after="20" w:before="9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CEO &amp; Founder,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22222"/>
          <w:sz w:val="19"/>
          <w:szCs w:val="19"/>
          <w:rtl w:val="0"/>
        </w:rPr>
        <w:t xml:space="preserve">RoamTouch LLC 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2011 – 2016, SF Bay Area / Buenos Aires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Founded and led a mobile technology company end to end, covering Android SDK and web development, AWS/Linux infrastructure, custom Android/Android-x86 builds and WebKit forking (C++/Java). Authored 5 granted patents in touch and gesture-interface technology.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026"/>
        </w:tabs>
        <w:spacing w:after="20" w:before="9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22222"/>
          <w:sz w:val="19"/>
          <w:szCs w:val="19"/>
          <w:rtl w:val="0"/>
        </w:rPr>
        <w:t xml:space="preserve">CEO &amp; Founder,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222222"/>
          <w:sz w:val="19"/>
          <w:szCs w:val="19"/>
          <w:rtl w:val="0"/>
        </w:rPr>
        <w:t xml:space="preserve">RadonTech / Radon Network</w:t>
      </w: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2021 – 2022, US / Argentina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8"/>
          <w:szCs w:val="18"/>
          <w:rtl w:val="0"/>
        </w:rPr>
        <w:t xml:space="preserve">Founded an IoT company serving LATAM and a helium-mining technology venture, part of the 2021–2022 tech/crypto growth cycle; wound down both in Dec. 2022.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555555"/>
          <w:sz w:val="17"/>
          <w:szCs w:val="17"/>
          <w:rtl w:val="0"/>
        </w:rPr>
        <w:t xml:space="preserve">Earlier: Co-Founder, Negociómetro (search engine, 2016–2018) · Mobile Coordinator, Grupo Vi-Da (native Android/PhoneGap, 2011–2013) · Flash/Flex &amp; iPhone Developer, Truelogic Software (2008–2011) · Founder/CEO, Padkite (2007–2010) · IT Coordinator/LAN Administrator, O.S.P.G. (2003–2007) · additional roles at Arinware, Netwave LLC, Step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bottom w:color="cccccc" w:space="2" w:sz="4" w:val="single"/>
        </w:pBdr>
        <w:spacing w:after="6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19"/>
          <w:szCs w:val="19"/>
          <w:rtl w:val="0"/>
        </w:rPr>
        <w:t xml:space="preserve">PATENTS (5 GRANTED, TOUCH &amp; GESTURE INTERFACES)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7"/>
          <w:szCs w:val="17"/>
          <w:rtl w:val="0"/>
        </w:rPr>
        <w:t xml:space="preserve">Touch/gesture control methods for smart TVs, tablets and phones; floating-cursor navigation with selection and content gestures; touch-screen navigation systems; thin-terminal architecture utilizing roaming keyboard files.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bottom w:color="cccccc" w:space="2" w:sz="4" w:val="single"/>
        </w:pBdr>
        <w:spacing w:after="6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19"/>
          <w:szCs w:val="19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7"/>
          <w:szCs w:val="17"/>
          <w:rtl w:val="0"/>
        </w:rPr>
        <w:t xml:space="preserve">Systems Architecture &amp; Governance: distributed systems · Go, Python, C++, TypeScript/Node.js, Java · LLM integration (Ollama) &amp; RAG (ChromaDB) · event-driven &amp; workflow orchestration (Temporal) · OAuth / Zero Trust · WebSocket real-time systems · AWS / Linux infrastructure · REST / SOAP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7"/>
          <w:szCs w:val="17"/>
          <w:rtl w:val="0"/>
        </w:rPr>
        <w:t xml:space="preserve">Leadership &amp; Delivery: founding &amp; leading engineering teams · technical vision → funded execution · IP &amp; patent strategy · cross-functional stakeholder communication · UX/IU (Industrial Design background) · bilingual EN/ES delivery &amp; presence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bottom w:color="cccccc" w:space="2" w:sz="4" w:val="single"/>
        </w:pBdr>
        <w:spacing w:after="6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19"/>
          <w:szCs w:val="19"/>
          <w:rtl w:val="0"/>
        </w:rPr>
        <w:t xml:space="preserve">EDUCATION &amp; 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7"/>
          <w:szCs w:val="17"/>
          <w:rtl w:val="0"/>
        </w:rPr>
        <w:t xml:space="preserve">Industrial Designer, University of Buenos Aires (2001–2008)   ·   Bachiller Bilingüe, St Paul's College, Argentina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222"/>
          <w:sz w:val="17"/>
          <w:szCs w:val="17"/>
          <w:rtl w:val="0"/>
        </w:rPr>
        <w:t xml:space="preserve">English (Native/Bilingual) · Spanish (Native/Bilingual)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432" w:top="504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josevigil" TargetMode="External"/><Relationship Id="rId8" Type="http://schemas.openxmlformats.org/officeDocument/2006/relationships/hyperlink" Target="http://josevigil.com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p66tBwz7/XH95k06QHQr85Tuhw==">CgMxLjA4AHIhMThCYUxwTmNyZUUxaDh1eVVSNVJZcjVSaFl4S3B0eEpi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