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0212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477D7B">
            <w:r>
              <w:t>ID</w:t>
            </w:r>
          </w:p>
        </w:tc>
        <w:tc>
          <w:tcPr>
            <w:tcW w:w="6976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lastRenderedPageBreak/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</w:t>
            </w:r>
            <w:r>
              <w:t>07</w:t>
            </w:r>
            <w:bookmarkStart w:id="17" w:name="_GoBack"/>
            <w:bookmarkEnd w:id="17"/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aprobadas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aprobadas.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</w:t>
            </w:r>
            <w:r>
              <w:t>08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rechazadas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rechazadas.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lastRenderedPageBreak/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rechazo de la solicitud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</w:t>
            </w:r>
            <w:r>
              <w:t>09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cambios pendientes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por atender.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16EE" w:rsidRDefault="007316EE" w:rsidP="007316EE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7316EE" w:rsidTr="0006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ID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</w:t>
            </w:r>
            <w:r>
              <w:t>10</w:t>
            </w:r>
          </w:p>
          <w:p w:rsidR="007316EE" w:rsidRDefault="007316EE" w:rsidP="0006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Para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Titulo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sistemas con solicitudes de cambios pendientes</w:t>
            </w:r>
          </w:p>
          <w:p w:rsidR="007316EE" w:rsidRDefault="007316EE" w:rsidP="0006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Propósito</w:t>
            </w:r>
          </w:p>
        </w:tc>
        <w:tc>
          <w:tcPr>
            <w:tcW w:w="6976" w:type="dxa"/>
          </w:tcPr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todos los sistemas con solicitudes de cambio por atender.</w:t>
            </w:r>
          </w:p>
          <w:p w:rsidR="007316EE" w:rsidRDefault="007316EE" w:rsidP="0006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6EE" w:rsidTr="00066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Entradas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7316EE" w:rsidRDefault="007316EE" w:rsidP="000666C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6EE" w:rsidTr="0006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16EE" w:rsidRDefault="007316EE" w:rsidP="000666C6">
            <w:r>
              <w:t>Salidas</w:t>
            </w:r>
          </w:p>
        </w:tc>
        <w:tc>
          <w:tcPr>
            <w:tcW w:w="6976" w:type="dxa"/>
          </w:tcPr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aprobación de la solicitud</w:t>
            </w:r>
          </w:p>
          <w:p w:rsidR="007316EE" w:rsidRDefault="007316EE" w:rsidP="000666C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estimada de finalización</w:t>
            </w:r>
          </w:p>
          <w:p w:rsidR="007316EE" w:rsidRDefault="007316EE" w:rsidP="000666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61" w:rsidRDefault="00021261">
      <w:r>
        <w:separator/>
      </w:r>
    </w:p>
  </w:endnote>
  <w:endnote w:type="continuationSeparator" w:id="0">
    <w:p w:rsidR="00021261" w:rsidRDefault="0002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316EE">
      <w:rPr>
        <w:rStyle w:val="Nmerodepgina"/>
        <w:noProof/>
      </w:rPr>
      <w:t>22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316EE"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61" w:rsidRDefault="00021261">
      <w:r>
        <w:separator/>
      </w:r>
    </w:p>
  </w:footnote>
  <w:footnote w:type="continuationSeparator" w:id="0">
    <w:p w:rsidR="00021261" w:rsidRDefault="0002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1261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3BD"/>
    <w:rsid w:val="003A457F"/>
    <w:rsid w:val="003D04F2"/>
    <w:rsid w:val="003D5B2A"/>
    <w:rsid w:val="003E5618"/>
    <w:rsid w:val="003E7641"/>
    <w:rsid w:val="003F763D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21057"/>
    <w:rsid w:val="00724EA4"/>
    <w:rsid w:val="007315A2"/>
    <w:rsid w:val="007316EE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5710CC2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A4A5380D-6E06-463F-BCB0-4BD0043AEBEE}" type="presOf" srcId="{3138FF9E-5D07-4114-9CD9-301EBF0E0124}" destId="{A79EFA1B-2501-48D9-8B21-660213623D1E}" srcOrd="0" destOrd="0" presId="urn:microsoft.com/office/officeart/2005/8/layout/hierarchy2"/>
    <dgm:cxn modelId="{453BAC01-935B-4FBF-ACB8-F2C1051A6011}" type="presOf" srcId="{9DED964F-F8B0-4D16-839D-BB29CE9D02CA}" destId="{9A5AA9B6-51E0-41EB-84BC-9DAECDA57948}" srcOrd="0" destOrd="0" presId="urn:microsoft.com/office/officeart/2005/8/layout/hierarchy2"/>
    <dgm:cxn modelId="{1FA50B0A-B159-45AA-A4E6-6FDF20211573}" type="presOf" srcId="{4D85541E-C7E3-45FE-92AC-C1E78F89A247}" destId="{233B0C69-CAAD-4371-A4BF-2ED11A20266C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9396A084-690B-4D8A-B3EF-62227851208E}" type="presOf" srcId="{38EE5167-C2E5-4109-BB70-9117C4B47F89}" destId="{77FC7958-6F3C-4670-8B8B-99D88E6478F5}" srcOrd="0" destOrd="0" presId="urn:microsoft.com/office/officeart/2005/8/layout/hierarchy2"/>
    <dgm:cxn modelId="{4E5EFCCE-24C0-4367-8922-26260A808672}" type="presOf" srcId="{EBDB1A20-0571-45DE-B9BD-900E72666C66}" destId="{4E223AA3-A908-4815-B883-635C4E17CAE0}" srcOrd="0" destOrd="0" presId="urn:microsoft.com/office/officeart/2005/8/layout/hierarchy2"/>
    <dgm:cxn modelId="{BB7F1680-EDB2-4631-B78B-50667597B918}" type="presOf" srcId="{38EE5167-C2E5-4109-BB70-9117C4B47F89}" destId="{C47E0B12-A3DA-4016-ABED-39CD32680EA2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C537AF9B-3AA0-40BE-B2C5-A25C553FB0C3}" type="presOf" srcId="{3A9493AE-36F1-4695-82AB-00172233DEC1}" destId="{3D70F57C-A13D-45D7-B2D1-9500E065ED89}" srcOrd="1" destOrd="0" presId="urn:microsoft.com/office/officeart/2005/8/layout/hierarchy2"/>
    <dgm:cxn modelId="{046EBD92-4D62-4CF0-AB85-98D084D21B62}" type="presOf" srcId="{1432C652-3C18-4A67-9173-4317F8F9BB5A}" destId="{AE9C4537-B9ED-43B5-B236-463781E0B5F1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E594A93E-8673-4BE4-BD73-5E514C726E34}" type="presOf" srcId="{D67D704A-8856-4016-9F0F-F0FB5A7D8CD9}" destId="{C73CB3A5-3C76-4015-9D4D-81F572466FF4}" srcOrd="0" destOrd="0" presId="urn:microsoft.com/office/officeart/2005/8/layout/hierarchy2"/>
    <dgm:cxn modelId="{AA326ED5-8A54-4570-BB50-E7B532C3667A}" type="presOf" srcId="{4B78E0E0-FFFE-456F-A6F8-547CA468ACB0}" destId="{38D81783-511B-4037-8995-0D9A5100FF3C}" srcOrd="0" destOrd="0" presId="urn:microsoft.com/office/officeart/2005/8/layout/hierarchy2"/>
    <dgm:cxn modelId="{0BF0AB8A-85BD-4EA5-9C8A-628CC3FC9436}" type="presOf" srcId="{4D85541E-C7E3-45FE-92AC-C1E78F89A247}" destId="{3D294A8E-850B-4B09-95D3-300B8DFC0FFB}" srcOrd="0" destOrd="0" presId="urn:microsoft.com/office/officeart/2005/8/layout/hierarchy2"/>
    <dgm:cxn modelId="{3FDA2411-8DD5-411C-9207-E6FCE7D2E25C}" type="presOf" srcId="{4B78E0E0-FFFE-456F-A6F8-547CA468ACB0}" destId="{DE284733-C3D1-47B5-86BE-A99FDA645EBE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AD88A9A8-C3B4-4AB4-AE44-9EAC8C8829A6}" type="presOf" srcId="{77B1B25E-3E40-4B2B-A9A7-3307D1E62147}" destId="{0894BA4C-96A7-4FB5-B1BC-402F40074395}" srcOrd="0" destOrd="0" presId="urn:microsoft.com/office/officeart/2005/8/layout/hierarchy2"/>
    <dgm:cxn modelId="{2D1FA9A9-5A22-4662-B860-837C4AC61B15}" type="presOf" srcId="{3A9493AE-36F1-4695-82AB-00172233DEC1}" destId="{7820AA62-E9F6-41B6-9A0F-83B1B80C5E74}" srcOrd="0" destOrd="0" presId="urn:microsoft.com/office/officeart/2005/8/layout/hierarchy2"/>
    <dgm:cxn modelId="{3F89FBBC-0A31-4EFE-81D9-B3EA2FB99A03}" type="presOf" srcId="{F2F7F699-7D43-492E-B01F-45B08A3CF15D}" destId="{4E506095-B50C-41DF-9EA5-82D9279E307C}" srcOrd="0" destOrd="0" presId="urn:microsoft.com/office/officeart/2005/8/layout/hierarchy2"/>
    <dgm:cxn modelId="{37264E0A-8DE9-45C5-956C-2E98AE163057}" type="presOf" srcId="{B996F2BE-158D-45D4-9905-B38E7AE69DBD}" destId="{3F4D7EBD-E6F7-4CDF-ADDB-DFCC192D6894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A240322-3A25-4164-9DC9-A96567C59AD7}" type="presOf" srcId="{77B1B25E-3E40-4B2B-A9A7-3307D1E62147}" destId="{A8F34D2F-B59B-4416-A8BB-35A63070F07C}" srcOrd="1" destOrd="0" presId="urn:microsoft.com/office/officeart/2005/8/layout/hierarchy2"/>
    <dgm:cxn modelId="{9C6A10C5-0BCC-4B72-87FD-A38A258698EB}" type="presParOf" srcId="{AE9C4537-B9ED-43B5-B236-463781E0B5F1}" destId="{9C4BBAED-6D3A-4DAF-B7D7-541EEC62FC34}" srcOrd="0" destOrd="0" presId="urn:microsoft.com/office/officeart/2005/8/layout/hierarchy2"/>
    <dgm:cxn modelId="{50615917-4168-4BF8-A259-3DC15DE374FB}" type="presParOf" srcId="{9C4BBAED-6D3A-4DAF-B7D7-541EEC62FC34}" destId="{A79EFA1B-2501-48D9-8B21-660213623D1E}" srcOrd="0" destOrd="0" presId="urn:microsoft.com/office/officeart/2005/8/layout/hierarchy2"/>
    <dgm:cxn modelId="{F4865727-1BD3-461B-B26F-BEC2A153445F}" type="presParOf" srcId="{9C4BBAED-6D3A-4DAF-B7D7-541EEC62FC34}" destId="{80930816-5F4F-49BC-972B-57D57CEE9805}" srcOrd="1" destOrd="0" presId="urn:microsoft.com/office/officeart/2005/8/layout/hierarchy2"/>
    <dgm:cxn modelId="{D658CE39-E699-45E0-A65F-758D1D42F4AF}" type="presParOf" srcId="{80930816-5F4F-49BC-972B-57D57CEE9805}" destId="{3D294A8E-850B-4B09-95D3-300B8DFC0FFB}" srcOrd="0" destOrd="0" presId="urn:microsoft.com/office/officeart/2005/8/layout/hierarchy2"/>
    <dgm:cxn modelId="{7A1D4841-5DFE-497D-B38E-02AD715AD442}" type="presParOf" srcId="{3D294A8E-850B-4B09-95D3-300B8DFC0FFB}" destId="{233B0C69-CAAD-4371-A4BF-2ED11A20266C}" srcOrd="0" destOrd="0" presId="urn:microsoft.com/office/officeart/2005/8/layout/hierarchy2"/>
    <dgm:cxn modelId="{C0224535-1593-4608-A654-821CBAEEF052}" type="presParOf" srcId="{80930816-5F4F-49BC-972B-57D57CEE9805}" destId="{399FF8FE-A1C2-4326-9494-4F643ACF3B2A}" srcOrd="1" destOrd="0" presId="urn:microsoft.com/office/officeart/2005/8/layout/hierarchy2"/>
    <dgm:cxn modelId="{EF91EBC6-ED59-410B-8E51-24D10D8E9DBB}" type="presParOf" srcId="{399FF8FE-A1C2-4326-9494-4F643ACF3B2A}" destId="{4E506095-B50C-41DF-9EA5-82D9279E307C}" srcOrd="0" destOrd="0" presId="urn:microsoft.com/office/officeart/2005/8/layout/hierarchy2"/>
    <dgm:cxn modelId="{8678BB11-297F-49E7-BF45-4CBD6BAFB04D}" type="presParOf" srcId="{399FF8FE-A1C2-4326-9494-4F643ACF3B2A}" destId="{986807FD-581A-411F-9979-11276707C3E9}" srcOrd="1" destOrd="0" presId="urn:microsoft.com/office/officeart/2005/8/layout/hierarchy2"/>
    <dgm:cxn modelId="{CCC117B7-B879-4FB5-ABDB-E8649026F30A}" type="presParOf" srcId="{80930816-5F4F-49BC-972B-57D57CEE9805}" destId="{7820AA62-E9F6-41B6-9A0F-83B1B80C5E74}" srcOrd="2" destOrd="0" presId="urn:microsoft.com/office/officeart/2005/8/layout/hierarchy2"/>
    <dgm:cxn modelId="{9D54A443-6B04-4E3F-AD95-5735B38D5F5D}" type="presParOf" srcId="{7820AA62-E9F6-41B6-9A0F-83B1B80C5E74}" destId="{3D70F57C-A13D-45D7-B2D1-9500E065ED89}" srcOrd="0" destOrd="0" presId="urn:microsoft.com/office/officeart/2005/8/layout/hierarchy2"/>
    <dgm:cxn modelId="{6FFCB8B3-2309-43E2-B770-71F972E37D58}" type="presParOf" srcId="{80930816-5F4F-49BC-972B-57D57CEE9805}" destId="{AD0B8AE8-3360-469B-AB24-37E916C49B37}" srcOrd="3" destOrd="0" presId="urn:microsoft.com/office/officeart/2005/8/layout/hierarchy2"/>
    <dgm:cxn modelId="{1251D8D5-D6CA-46AB-8BD1-BEF4B4AB36DD}" type="presParOf" srcId="{AD0B8AE8-3360-469B-AB24-37E916C49B37}" destId="{9A5AA9B6-51E0-41EB-84BC-9DAECDA57948}" srcOrd="0" destOrd="0" presId="urn:microsoft.com/office/officeart/2005/8/layout/hierarchy2"/>
    <dgm:cxn modelId="{24B18496-D416-4F40-B51A-A677B9269C9E}" type="presParOf" srcId="{AD0B8AE8-3360-469B-AB24-37E916C49B37}" destId="{3112A20C-6C41-4D00-9911-0F16B451546C}" srcOrd="1" destOrd="0" presId="urn:microsoft.com/office/officeart/2005/8/layout/hierarchy2"/>
    <dgm:cxn modelId="{47E0FED2-CE44-40BA-96BE-59FACAA0A150}" type="presParOf" srcId="{3112A20C-6C41-4D00-9911-0F16B451546C}" destId="{0894BA4C-96A7-4FB5-B1BC-402F40074395}" srcOrd="0" destOrd="0" presId="urn:microsoft.com/office/officeart/2005/8/layout/hierarchy2"/>
    <dgm:cxn modelId="{93B6CA3B-3A63-44CC-8A30-F476BD088E12}" type="presParOf" srcId="{0894BA4C-96A7-4FB5-B1BC-402F40074395}" destId="{A8F34D2F-B59B-4416-A8BB-35A63070F07C}" srcOrd="0" destOrd="0" presId="urn:microsoft.com/office/officeart/2005/8/layout/hierarchy2"/>
    <dgm:cxn modelId="{B388C6F5-D00B-449E-A475-D6D3FC670523}" type="presParOf" srcId="{3112A20C-6C41-4D00-9911-0F16B451546C}" destId="{3CAE97E3-CC93-4E92-8EAD-1280EC3C04C2}" srcOrd="1" destOrd="0" presId="urn:microsoft.com/office/officeart/2005/8/layout/hierarchy2"/>
    <dgm:cxn modelId="{069D7419-F9D4-4A49-822E-8383C87C8F47}" type="presParOf" srcId="{3CAE97E3-CC93-4E92-8EAD-1280EC3C04C2}" destId="{4E223AA3-A908-4815-B883-635C4E17CAE0}" srcOrd="0" destOrd="0" presId="urn:microsoft.com/office/officeart/2005/8/layout/hierarchy2"/>
    <dgm:cxn modelId="{2DDF3FC0-5825-4BC9-91E1-1153417784BB}" type="presParOf" srcId="{3CAE97E3-CC93-4E92-8EAD-1280EC3C04C2}" destId="{9FB6A310-5CD3-47D6-A4D9-7BB5ED1C8DE0}" srcOrd="1" destOrd="0" presId="urn:microsoft.com/office/officeart/2005/8/layout/hierarchy2"/>
    <dgm:cxn modelId="{672979D9-FEA5-4EDB-8B9B-4FE3AFED16D4}" type="presParOf" srcId="{3112A20C-6C41-4D00-9911-0F16B451546C}" destId="{77FC7958-6F3C-4670-8B8B-99D88E6478F5}" srcOrd="2" destOrd="0" presId="urn:microsoft.com/office/officeart/2005/8/layout/hierarchy2"/>
    <dgm:cxn modelId="{C8EC4187-8E03-450A-AF71-3F537D90AF63}" type="presParOf" srcId="{77FC7958-6F3C-4670-8B8B-99D88E6478F5}" destId="{C47E0B12-A3DA-4016-ABED-39CD32680EA2}" srcOrd="0" destOrd="0" presId="urn:microsoft.com/office/officeart/2005/8/layout/hierarchy2"/>
    <dgm:cxn modelId="{2D6CFD13-31A0-4F58-B7A2-AA66156280E9}" type="presParOf" srcId="{3112A20C-6C41-4D00-9911-0F16B451546C}" destId="{DA3EF3CC-7773-4747-ADA2-6DFED3E4B7B4}" srcOrd="3" destOrd="0" presId="urn:microsoft.com/office/officeart/2005/8/layout/hierarchy2"/>
    <dgm:cxn modelId="{86F076B7-6973-4F62-B518-259C40A51379}" type="presParOf" srcId="{DA3EF3CC-7773-4747-ADA2-6DFED3E4B7B4}" destId="{3F4D7EBD-E6F7-4CDF-ADDB-DFCC192D6894}" srcOrd="0" destOrd="0" presId="urn:microsoft.com/office/officeart/2005/8/layout/hierarchy2"/>
    <dgm:cxn modelId="{53C511FA-A530-401A-AE41-EC1FE07E2826}" type="presParOf" srcId="{DA3EF3CC-7773-4747-ADA2-6DFED3E4B7B4}" destId="{8CF09BC2-104A-4877-8B30-5182564907E6}" srcOrd="1" destOrd="0" presId="urn:microsoft.com/office/officeart/2005/8/layout/hierarchy2"/>
    <dgm:cxn modelId="{150F3184-1553-4D04-8C58-1688D6E61A42}" type="presParOf" srcId="{80930816-5F4F-49BC-972B-57D57CEE9805}" destId="{38D81783-511B-4037-8995-0D9A5100FF3C}" srcOrd="4" destOrd="0" presId="urn:microsoft.com/office/officeart/2005/8/layout/hierarchy2"/>
    <dgm:cxn modelId="{BB8F7C48-79E6-4C17-A47D-DE3C5889A72C}" type="presParOf" srcId="{38D81783-511B-4037-8995-0D9A5100FF3C}" destId="{DE284733-C3D1-47B5-86BE-A99FDA645EBE}" srcOrd="0" destOrd="0" presId="urn:microsoft.com/office/officeart/2005/8/layout/hierarchy2"/>
    <dgm:cxn modelId="{F9B5AE3A-86E8-4E03-A85B-512C47F7ED00}" type="presParOf" srcId="{80930816-5F4F-49BC-972B-57D57CEE9805}" destId="{F6B10290-0AA4-4F2E-8E17-C296C40B5913}" srcOrd="5" destOrd="0" presId="urn:microsoft.com/office/officeart/2005/8/layout/hierarchy2"/>
    <dgm:cxn modelId="{39A6F545-A140-4F2B-A9CB-159B3D70513B}" type="presParOf" srcId="{F6B10290-0AA4-4F2E-8E17-C296C40B5913}" destId="{C73CB3A5-3C76-4015-9D4D-81F572466FF4}" srcOrd="0" destOrd="0" presId="urn:microsoft.com/office/officeart/2005/8/layout/hierarchy2"/>
    <dgm:cxn modelId="{08381C6B-1781-4A64-98CE-6FAB07AE60F2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203D6-0882-48D5-81B0-BEFA7A84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351</TotalTime>
  <Pages>25</Pages>
  <Words>3295</Words>
  <Characters>18123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21376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77</cp:revision>
  <cp:lastPrinted>2002-06-07T02:19:00Z</cp:lastPrinted>
  <dcterms:created xsi:type="dcterms:W3CDTF">2016-10-14T04:29:00Z</dcterms:created>
  <dcterms:modified xsi:type="dcterms:W3CDTF">2016-11-26T04:50:00Z</dcterms:modified>
</cp:coreProperties>
</file>