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E24D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31EE" w:rsidRDefault="008931EE" w:rsidP="0050793B">
            <w:r>
              <w:t>ID</w:t>
            </w:r>
          </w:p>
        </w:tc>
        <w:tc>
          <w:tcPr>
            <w:tcW w:w="6976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SGV-RE-004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SGV-RE-005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</w:t>
            </w:r>
            <w:r w:rsidR="00C11048">
              <w:t>oceso de desarrollo de software.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Comentario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SGV-RE-006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lastRenderedPageBreak/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>, para  que el Gestor de la Configuración pueda monitorizar y reportar los cambios</w:t>
            </w:r>
            <w:r w:rsidR="00721261">
              <w:t>.</w:t>
            </w:r>
            <w:r>
              <w:t xml:space="preserve">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72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  <w:r w:rsidR="00EF34FD">
              <w:t>.</w:t>
            </w:r>
            <w:bookmarkStart w:id="17" w:name="_GoBack"/>
            <w:bookmarkEnd w:id="17"/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lastRenderedPageBreak/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D5" w:rsidRDefault="007E24D5">
      <w:r>
        <w:separator/>
      </w:r>
    </w:p>
  </w:endnote>
  <w:endnote w:type="continuationSeparator" w:id="0">
    <w:p w:rsidR="007E24D5" w:rsidRDefault="007E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F34F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F34FD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D5" w:rsidRDefault="007E24D5">
      <w:r>
        <w:separator/>
      </w:r>
    </w:p>
  </w:footnote>
  <w:footnote w:type="continuationSeparator" w:id="0">
    <w:p w:rsidR="007E24D5" w:rsidRDefault="007E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0D35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4280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166E4"/>
    <w:rsid w:val="00721057"/>
    <w:rsid w:val="00721261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24D5"/>
    <w:rsid w:val="007E6937"/>
    <w:rsid w:val="007F73B9"/>
    <w:rsid w:val="00804021"/>
    <w:rsid w:val="008141EF"/>
    <w:rsid w:val="0082105D"/>
    <w:rsid w:val="00821FC3"/>
    <w:rsid w:val="0083205D"/>
    <w:rsid w:val="0083328E"/>
    <w:rsid w:val="00841953"/>
    <w:rsid w:val="00841C20"/>
    <w:rsid w:val="00855A04"/>
    <w:rsid w:val="00857FAC"/>
    <w:rsid w:val="008706D0"/>
    <w:rsid w:val="00892B75"/>
    <w:rsid w:val="008931EE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0F8D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568CC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1048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2276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EF34FD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B26AC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A9FA2FD6-FCA0-442B-AFE5-7FE8B15DEBF4}" type="presOf" srcId="{77B1B25E-3E40-4B2B-A9A7-3307D1E62147}" destId="{0894BA4C-96A7-4FB5-B1BC-402F40074395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94786D99-A815-4094-B029-BC7BD7E1DAEF}" type="presOf" srcId="{3138FF9E-5D07-4114-9CD9-301EBF0E0124}" destId="{A79EFA1B-2501-48D9-8B21-660213623D1E}" srcOrd="0" destOrd="0" presId="urn:microsoft.com/office/officeart/2005/8/layout/hierarchy2"/>
    <dgm:cxn modelId="{8F739486-E834-4681-98DE-0CA1E52F45CA}" type="presOf" srcId="{38EE5167-C2E5-4109-BB70-9117C4B47F89}" destId="{77FC7958-6F3C-4670-8B8B-99D88E6478F5}" srcOrd="0" destOrd="0" presId="urn:microsoft.com/office/officeart/2005/8/layout/hierarchy2"/>
    <dgm:cxn modelId="{E284976E-E0DD-4F2E-801E-3BBEE027F1B0}" type="presOf" srcId="{3A9493AE-36F1-4695-82AB-00172233DEC1}" destId="{7820AA62-E9F6-41B6-9A0F-83B1B80C5E74}" srcOrd="0" destOrd="0" presId="urn:microsoft.com/office/officeart/2005/8/layout/hierarchy2"/>
    <dgm:cxn modelId="{F296113F-1917-4452-AE4B-706D71660D5C}" type="presOf" srcId="{4D85541E-C7E3-45FE-92AC-C1E78F89A247}" destId="{233B0C69-CAAD-4371-A4BF-2ED11A20266C}" srcOrd="1" destOrd="0" presId="urn:microsoft.com/office/officeart/2005/8/layout/hierarchy2"/>
    <dgm:cxn modelId="{D8465AEC-46B1-4EBE-90F8-FD7419052D54}" type="presOf" srcId="{4B78E0E0-FFFE-456F-A6F8-547CA468ACB0}" destId="{38D81783-511B-4037-8995-0D9A5100FF3C}" srcOrd="0" destOrd="0" presId="urn:microsoft.com/office/officeart/2005/8/layout/hierarchy2"/>
    <dgm:cxn modelId="{BC12EDF3-EE0D-4D97-8A70-67BE2E426663}" type="presOf" srcId="{9DED964F-F8B0-4D16-839D-BB29CE9D02CA}" destId="{9A5AA9B6-51E0-41EB-84BC-9DAECDA57948}" srcOrd="0" destOrd="0" presId="urn:microsoft.com/office/officeart/2005/8/layout/hierarchy2"/>
    <dgm:cxn modelId="{0E058F4A-2324-4334-8834-F47BFBBF1805}" type="presOf" srcId="{38EE5167-C2E5-4109-BB70-9117C4B47F89}" destId="{C47E0B12-A3DA-4016-ABED-39CD32680EA2}" srcOrd="1" destOrd="0" presId="urn:microsoft.com/office/officeart/2005/8/layout/hierarchy2"/>
    <dgm:cxn modelId="{990A1481-0B68-4971-849F-E061FCADA92A}" type="presOf" srcId="{1432C652-3C18-4A67-9173-4317F8F9BB5A}" destId="{AE9C4537-B9ED-43B5-B236-463781E0B5F1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111FA490-A1ED-4375-8A08-73F82DCE7DC4}" type="presOf" srcId="{77B1B25E-3E40-4B2B-A9A7-3307D1E62147}" destId="{A8F34D2F-B59B-4416-A8BB-35A63070F07C}" srcOrd="1" destOrd="0" presId="urn:microsoft.com/office/officeart/2005/8/layout/hierarchy2"/>
    <dgm:cxn modelId="{404A7ECB-5864-4439-BFBF-B4955EFA8B75}" type="presOf" srcId="{4D85541E-C7E3-45FE-92AC-C1E78F89A247}" destId="{3D294A8E-850B-4B09-95D3-300B8DFC0FFB}" srcOrd="0" destOrd="0" presId="urn:microsoft.com/office/officeart/2005/8/layout/hierarchy2"/>
    <dgm:cxn modelId="{8B5CFDD6-0A77-4FA7-BB42-774627BABCDB}" type="presOf" srcId="{3A9493AE-36F1-4695-82AB-00172233DEC1}" destId="{3D70F57C-A13D-45D7-B2D1-9500E065ED89}" srcOrd="1" destOrd="0" presId="urn:microsoft.com/office/officeart/2005/8/layout/hierarchy2"/>
    <dgm:cxn modelId="{C86DB3A6-D837-4F98-A424-1DA33A1CF048}" type="presOf" srcId="{4B78E0E0-FFFE-456F-A6F8-547CA468ACB0}" destId="{DE284733-C3D1-47B5-86BE-A99FDA645EBE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8C9067D2-F3F1-4358-A18C-0495D90F2F6D}" type="presOf" srcId="{D67D704A-8856-4016-9F0F-F0FB5A7D8CD9}" destId="{C73CB3A5-3C76-4015-9D4D-81F572466FF4}" srcOrd="0" destOrd="0" presId="urn:microsoft.com/office/officeart/2005/8/layout/hierarchy2"/>
    <dgm:cxn modelId="{F7C6A2B9-BED4-4321-AE30-EE7E82347A79}" type="presOf" srcId="{EBDB1A20-0571-45DE-B9BD-900E72666C66}" destId="{4E223AA3-A908-4815-B883-635C4E17CAE0}" srcOrd="0" destOrd="0" presId="urn:microsoft.com/office/officeart/2005/8/layout/hierarchy2"/>
    <dgm:cxn modelId="{CF8E7DDC-603D-48F7-AD76-AE942C280F4A}" type="presOf" srcId="{F2F7F699-7D43-492E-B01F-45B08A3CF15D}" destId="{4E506095-B50C-41DF-9EA5-82D9279E307C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A769D669-FBEF-455D-A22F-0895F011DC1B}" type="presOf" srcId="{B996F2BE-158D-45D4-9905-B38E7AE69DBD}" destId="{3F4D7EBD-E6F7-4CDF-ADDB-DFCC192D6894}" srcOrd="0" destOrd="0" presId="urn:microsoft.com/office/officeart/2005/8/layout/hierarchy2"/>
    <dgm:cxn modelId="{9646FCF1-3BD0-43D3-BF12-28205924D862}" type="presParOf" srcId="{AE9C4537-B9ED-43B5-B236-463781E0B5F1}" destId="{9C4BBAED-6D3A-4DAF-B7D7-541EEC62FC34}" srcOrd="0" destOrd="0" presId="urn:microsoft.com/office/officeart/2005/8/layout/hierarchy2"/>
    <dgm:cxn modelId="{5708698B-A8C3-4B5E-89E0-B2E25C064E02}" type="presParOf" srcId="{9C4BBAED-6D3A-4DAF-B7D7-541EEC62FC34}" destId="{A79EFA1B-2501-48D9-8B21-660213623D1E}" srcOrd="0" destOrd="0" presId="urn:microsoft.com/office/officeart/2005/8/layout/hierarchy2"/>
    <dgm:cxn modelId="{775DC5B7-3122-4E71-8D3A-71B83A480C4F}" type="presParOf" srcId="{9C4BBAED-6D3A-4DAF-B7D7-541EEC62FC34}" destId="{80930816-5F4F-49BC-972B-57D57CEE9805}" srcOrd="1" destOrd="0" presId="urn:microsoft.com/office/officeart/2005/8/layout/hierarchy2"/>
    <dgm:cxn modelId="{C5772D0B-D713-4193-8B6E-0F8C5AFAC624}" type="presParOf" srcId="{80930816-5F4F-49BC-972B-57D57CEE9805}" destId="{3D294A8E-850B-4B09-95D3-300B8DFC0FFB}" srcOrd="0" destOrd="0" presId="urn:microsoft.com/office/officeart/2005/8/layout/hierarchy2"/>
    <dgm:cxn modelId="{F6318D76-B6D1-4515-97DC-1410DA28EE0F}" type="presParOf" srcId="{3D294A8E-850B-4B09-95D3-300B8DFC0FFB}" destId="{233B0C69-CAAD-4371-A4BF-2ED11A20266C}" srcOrd="0" destOrd="0" presId="urn:microsoft.com/office/officeart/2005/8/layout/hierarchy2"/>
    <dgm:cxn modelId="{4F1AA766-7045-403C-9C76-C7AE453B48D9}" type="presParOf" srcId="{80930816-5F4F-49BC-972B-57D57CEE9805}" destId="{399FF8FE-A1C2-4326-9494-4F643ACF3B2A}" srcOrd="1" destOrd="0" presId="urn:microsoft.com/office/officeart/2005/8/layout/hierarchy2"/>
    <dgm:cxn modelId="{CBECA980-BAA8-4C6B-8CCA-37CC477AE23B}" type="presParOf" srcId="{399FF8FE-A1C2-4326-9494-4F643ACF3B2A}" destId="{4E506095-B50C-41DF-9EA5-82D9279E307C}" srcOrd="0" destOrd="0" presId="urn:microsoft.com/office/officeart/2005/8/layout/hierarchy2"/>
    <dgm:cxn modelId="{FE3D2E1C-E117-49E7-A161-CD721BAA9D46}" type="presParOf" srcId="{399FF8FE-A1C2-4326-9494-4F643ACF3B2A}" destId="{986807FD-581A-411F-9979-11276707C3E9}" srcOrd="1" destOrd="0" presId="urn:microsoft.com/office/officeart/2005/8/layout/hierarchy2"/>
    <dgm:cxn modelId="{FE078E2F-28DA-4C0D-9730-2C64BCC9DE7A}" type="presParOf" srcId="{80930816-5F4F-49BC-972B-57D57CEE9805}" destId="{7820AA62-E9F6-41B6-9A0F-83B1B80C5E74}" srcOrd="2" destOrd="0" presId="urn:microsoft.com/office/officeart/2005/8/layout/hierarchy2"/>
    <dgm:cxn modelId="{A0280CE9-43D0-4EEC-A6EA-24B08E44ECE5}" type="presParOf" srcId="{7820AA62-E9F6-41B6-9A0F-83B1B80C5E74}" destId="{3D70F57C-A13D-45D7-B2D1-9500E065ED89}" srcOrd="0" destOrd="0" presId="urn:microsoft.com/office/officeart/2005/8/layout/hierarchy2"/>
    <dgm:cxn modelId="{4DE7F68F-47D0-4E87-B685-0D688123DD6D}" type="presParOf" srcId="{80930816-5F4F-49BC-972B-57D57CEE9805}" destId="{AD0B8AE8-3360-469B-AB24-37E916C49B37}" srcOrd="3" destOrd="0" presId="urn:microsoft.com/office/officeart/2005/8/layout/hierarchy2"/>
    <dgm:cxn modelId="{EC21AD89-CFD1-41EB-9BC3-3529814D51E3}" type="presParOf" srcId="{AD0B8AE8-3360-469B-AB24-37E916C49B37}" destId="{9A5AA9B6-51E0-41EB-84BC-9DAECDA57948}" srcOrd="0" destOrd="0" presId="urn:microsoft.com/office/officeart/2005/8/layout/hierarchy2"/>
    <dgm:cxn modelId="{E91208EC-0384-4C21-A491-972C9A882D9B}" type="presParOf" srcId="{AD0B8AE8-3360-469B-AB24-37E916C49B37}" destId="{3112A20C-6C41-4D00-9911-0F16B451546C}" srcOrd="1" destOrd="0" presId="urn:microsoft.com/office/officeart/2005/8/layout/hierarchy2"/>
    <dgm:cxn modelId="{6782DA2A-F229-42E7-8845-53CA73C05C06}" type="presParOf" srcId="{3112A20C-6C41-4D00-9911-0F16B451546C}" destId="{0894BA4C-96A7-4FB5-B1BC-402F40074395}" srcOrd="0" destOrd="0" presId="urn:microsoft.com/office/officeart/2005/8/layout/hierarchy2"/>
    <dgm:cxn modelId="{303DD31D-02C1-447A-BB6A-B03D477852E6}" type="presParOf" srcId="{0894BA4C-96A7-4FB5-B1BC-402F40074395}" destId="{A8F34D2F-B59B-4416-A8BB-35A63070F07C}" srcOrd="0" destOrd="0" presId="urn:microsoft.com/office/officeart/2005/8/layout/hierarchy2"/>
    <dgm:cxn modelId="{5E7AC44E-3035-467A-9C03-8D153599F5E0}" type="presParOf" srcId="{3112A20C-6C41-4D00-9911-0F16B451546C}" destId="{3CAE97E3-CC93-4E92-8EAD-1280EC3C04C2}" srcOrd="1" destOrd="0" presId="urn:microsoft.com/office/officeart/2005/8/layout/hierarchy2"/>
    <dgm:cxn modelId="{C44D23FD-6216-41E8-A0D7-1A5AF9038547}" type="presParOf" srcId="{3CAE97E3-CC93-4E92-8EAD-1280EC3C04C2}" destId="{4E223AA3-A908-4815-B883-635C4E17CAE0}" srcOrd="0" destOrd="0" presId="urn:microsoft.com/office/officeart/2005/8/layout/hierarchy2"/>
    <dgm:cxn modelId="{66AF8B25-4ABF-4239-950B-868E71677A84}" type="presParOf" srcId="{3CAE97E3-CC93-4E92-8EAD-1280EC3C04C2}" destId="{9FB6A310-5CD3-47D6-A4D9-7BB5ED1C8DE0}" srcOrd="1" destOrd="0" presId="urn:microsoft.com/office/officeart/2005/8/layout/hierarchy2"/>
    <dgm:cxn modelId="{699C794A-F3B8-49D8-A5A3-BC51342E68B3}" type="presParOf" srcId="{3112A20C-6C41-4D00-9911-0F16B451546C}" destId="{77FC7958-6F3C-4670-8B8B-99D88E6478F5}" srcOrd="2" destOrd="0" presId="urn:microsoft.com/office/officeart/2005/8/layout/hierarchy2"/>
    <dgm:cxn modelId="{9877D740-91C1-4430-985F-2E9F02B859D9}" type="presParOf" srcId="{77FC7958-6F3C-4670-8B8B-99D88E6478F5}" destId="{C47E0B12-A3DA-4016-ABED-39CD32680EA2}" srcOrd="0" destOrd="0" presId="urn:microsoft.com/office/officeart/2005/8/layout/hierarchy2"/>
    <dgm:cxn modelId="{E0E866CF-344F-4169-81A9-9D196FB33196}" type="presParOf" srcId="{3112A20C-6C41-4D00-9911-0F16B451546C}" destId="{DA3EF3CC-7773-4747-ADA2-6DFED3E4B7B4}" srcOrd="3" destOrd="0" presId="urn:microsoft.com/office/officeart/2005/8/layout/hierarchy2"/>
    <dgm:cxn modelId="{62FC1C95-8B97-437D-A00F-423F09F012C1}" type="presParOf" srcId="{DA3EF3CC-7773-4747-ADA2-6DFED3E4B7B4}" destId="{3F4D7EBD-E6F7-4CDF-ADDB-DFCC192D6894}" srcOrd="0" destOrd="0" presId="urn:microsoft.com/office/officeart/2005/8/layout/hierarchy2"/>
    <dgm:cxn modelId="{15C02AA3-3763-4BD8-A897-F40C689C1679}" type="presParOf" srcId="{DA3EF3CC-7773-4747-ADA2-6DFED3E4B7B4}" destId="{8CF09BC2-104A-4877-8B30-5182564907E6}" srcOrd="1" destOrd="0" presId="urn:microsoft.com/office/officeart/2005/8/layout/hierarchy2"/>
    <dgm:cxn modelId="{37D5ED74-700D-4110-9C3C-FC753E5681D2}" type="presParOf" srcId="{80930816-5F4F-49BC-972B-57D57CEE9805}" destId="{38D81783-511B-4037-8995-0D9A5100FF3C}" srcOrd="4" destOrd="0" presId="urn:microsoft.com/office/officeart/2005/8/layout/hierarchy2"/>
    <dgm:cxn modelId="{4633A912-D9EC-4DB3-949B-EC67E87AF1D1}" type="presParOf" srcId="{38D81783-511B-4037-8995-0D9A5100FF3C}" destId="{DE284733-C3D1-47B5-86BE-A99FDA645EBE}" srcOrd="0" destOrd="0" presId="urn:microsoft.com/office/officeart/2005/8/layout/hierarchy2"/>
    <dgm:cxn modelId="{39B47F95-98F6-4861-A0CD-F745B406961A}" type="presParOf" srcId="{80930816-5F4F-49BC-972B-57D57CEE9805}" destId="{F6B10290-0AA4-4F2E-8E17-C296C40B5913}" srcOrd="5" destOrd="0" presId="urn:microsoft.com/office/officeart/2005/8/layout/hierarchy2"/>
    <dgm:cxn modelId="{754FA343-B975-4A7C-BEC9-5FD987C1D48A}" type="presParOf" srcId="{F6B10290-0AA4-4F2E-8E17-C296C40B5913}" destId="{C73CB3A5-3C76-4015-9D4D-81F572466FF4}" srcOrd="0" destOrd="0" presId="urn:microsoft.com/office/officeart/2005/8/layout/hierarchy2"/>
    <dgm:cxn modelId="{30C7011B-41F7-4E0B-83AE-C3886993B9D4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57414-FE8F-413D-8811-60DA379E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353</TotalTime>
  <Pages>23</Pages>
  <Words>3046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19761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83</cp:revision>
  <cp:lastPrinted>2002-06-07T02:19:00Z</cp:lastPrinted>
  <dcterms:created xsi:type="dcterms:W3CDTF">2016-10-14T04:29:00Z</dcterms:created>
  <dcterms:modified xsi:type="dcterms:W3CDTF">2016-11-25T21:11:00Z</dcterms:modified>
</cp:coreProperties>
</file>