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C9747F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9747F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9747F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9747F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9747F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974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974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974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974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974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9747F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974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974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C9747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SGV-RE-001</w:t>
            </w:r>
          </w:p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SGV-RE-002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lastRenderedPageBreak/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SGV-RE-003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bookmarkStart w:id="17" w:name="_GoBack"/>
      <w:bookmarkEnd w:id="17"/>
      <w:r w:rsidR="00BC1B66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11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</w:t>
            </w:r>
            <w:r>
              <w:t>2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</w:tc>
      </w:tr>
      <w:tr w:rsidR="00923848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cambio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</w:t>
            </w:r>
            <w:r>
              <w:t>3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47F" w:rsidRDefault="00C9747F">
      <w:r>
        <w:separator/>
      </w:r>
    </w:p>
  </w:endnote>
  <w:endnote w:type="continuationSeparator" w:id="0">
    <w:p w:rsidR="00C9747F" w:rsidRDefault="00C97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C1B66">
      <w:rPr>
        <w:rStyle w:val="Nmerodepgina"/>
        <w:noProof/>
      </w:rPr>
      <w:t>21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C1B66">
      <w:rPr>
        <w:rStyle w:val="Nmerodepgina"/>
        <w:noProof/>
      </w:rPr>
      <w:t>22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47F" w:rsidRDefault="00C9747F">
      <w:r>
        <w:separator/>
      </w:r>
    </w:p>
  </w:footnote>
  <w:footnote w:type="continuationSeparator" w:id="0">
    <w:p w:rsidR="00C9747F" w:rsidRDefault="00C97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A457F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4CC5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1B66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87045"/>
    <w:rsid w:val="00C9233B"/>
    <w:rsid w:val="00C9747F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0F0D289"/>
  <w15:docId w15:val="{8BAEF6EA-024C-442B-9EF3-4BCE0B0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53A5B338-7BFA-47BB-806F-4465FB0CF2BA}" type="presOf" srcId="{B996F2BE-158D-45D4-9905-B38E7AE69DBD}" destId="{3F4D7EBD-E6F7-4CDF-ADDB-DFCC192D6894}" srcOrd="0" destOrd="0" presId="urn:microsoft.com/office/officeart/2005/8/layout/hierarchy2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1FEB162A-A11B-4724-A0D7-169479D91246}" type="presOf" srcId="{9DED964F-F8B0-4D16-839D-BB29CE9D02CA}" destId="{9A5AA9B6-51E0-41EB-84BC-9DAECDA57948}" srcOrd="0" destOrd="0" presId="urn:microsoft.com/office/officeart/2005/8/layout/hierarchy2"/>
    <dgm:cxn modelId="{57C4018B-3280-48CB-880B-F73F4C271701}" type="presOf" srcId="{77B1B25E-3E40-4B2B-A9A7-3307D1E62147}" destId="{A8F34D2F-B59B-4416-A8BB-35A63070F07C}" srcOrd="1" destOrd="0" presId="urn:microsoft.com/office/officeart/2005/8/layout/hierarchy2"/>
    <dgm:cxn modelId="{02E7C2BB-3F82-4815-AFFC-50904DFE6409}" type="presOf" srcId="{F2F7F699-7D43-492E-B01F-45B08A3CF15D}" destId="{4E506095-B50C-41DF-9EA5-82D9279E307C}" srcOrd="0" destOrd="0" presId="urn:microsoft.com/office/officeart/2005/8/layout/hierarchy2"/>
    <dgm:cxn modelId="{2A8C0001-E9DD-4B4F-8BF9-D4C7D01B5AA0}" type="presOf" srcId="{EBDB1A20-0571-45DE-B9BD-900E72666C66}" destId="{4E223AA3-A908-4815-B883-635C4E17CAE0}" srcOrd="0" destOrd="0" presId="urn:microsoft.com/office/officeart/2005/8/layout/hierarchy2"/>
    <dgm:cxn modelId="{1F5EE2E7-FB08-4192-B538-A100A45757C4}" type="presOf" srcId="{77B1B25E-3E40-4B2B-A9A7-3307D1E62147}" destId="{0894BA4C-96A7-4FB5-B1BC-402F40074395}" srcOrd="0" destOrd="0" presId="urn:microsoft.com/office/officeart/2005/8/layout/hierarchy2"/>
    <dgm:cxn modelId="{A462E039-CE38-4B28-BA1A-39E9C96A7BC5}" type="presOf" srcId="{3138FF9E-5D07-4114-9CD9-301EBF0E0124}" destId="{A79EFA1B-2501-48D9-8B21-660213623D1E}" srcOrd="0" destOrd="0" presId="urn:microsoft.com/office/officeart/2005/8/layout/hierarchy2"/>
    <dgm:cxn modelId="{0145F4CA-BE03-478F-99CC-CB5A1CB9B8B3}" type="presOf" srcId="{4D85541E-C7E3-45FE-92AC-C1E78F89A247}" destId="{3D294A8E-850B-4B09-95D3-300B8DFC0FFB}" srcOrd="0" destOrd="0" presId="urn:microsoft.com/office/officeart/2005/8/layout/hierarchy2"/>
    <dgm:cxn modelId="{31CA6BBB-D271-4B73-B2A3-93AE4936CBA6}" type="presOf" srcId="{38EE5167-C2E5-4109-BB70-9117C4B47F89}" destId="{77FC7958-6F3C-4670-8B8B-99D88E6478F5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07C4FC2D-CF7C-40D0-9FA3-417A4B9B4D8B}" type="presOf" srcId="{3A9493AE-36F1-4695-82AB-00172233DEC1}" destId="{3D70F57C-A13D-45D7-B2D1-9500E065ED89}" srcOrd="1" destOrd="0" presId="urn:microsoft.com/office/officeart/2005/8/layout/hierarchy2"/>
    <dgm:cxn modelId="{81A0585A-AFBF-4BEC-840F-2737475BE38B}" type="presOf" srcId="{D67D704A-8856-4016-9F0F-F0FB5A7D8CD9}" destId="{C73CB3A5-3C76-4015-9D4D-81F572466FF4}" srcOrd="0" destOrd="0" presId="urn:microsoft.com/office/officeart/2005/8/layout/hierarchy2"/>
    <dgm:cxn modelId="{064EB450-F7C3-4E5F-9AFC-3365B593489D}" type="presOf" srcId="{4D85541E-C7E3-45FE-92AC-C1E78F89A247}" destId="{233B0C69-CAAD-4371-A4BF-2ED11A20266C}" srcOrd="1" destOrd="0" presId="urn:microsoft.com/office/officeart/2005/8/layout/hierarchy2"/>
    <dgm:cxn modelId="{8C29C53E-373E-4714-AF2F-A805F970F15D}" type="presOf" srcId="{38EE5167-C2E5-4109-BB70-9117C4B47F89}" destId="{C47E0B12-A3DA-4016-ABED-39CD32680EA2}" srcOrd="1" destOrd="0" presId="urn:microsoft.com/office/officeart/2005/8/layout/hierarchy2"/>
    <dgm:cxn modelId="{B3F9F134-C99D-456E-A938-AA4FE6D9C4EC}" type="presOf" srcId="{4B78E0E0-FFFE-456F-A6F8-547CA468ACB0}" destId="{38D81783-511B-4037-8995-0D9A5100FF3C}" srcOrd="0" destOrd="0" presId="urn:microsoft.com/office/officeart/2005/8/layout/hierarchy2"/>
    <dgm:cxn modelId="{D060941E-CA11-4F9D-BD83-EFC8F60FFF4B}" type="presOf" srcId="{3A9493AE-36F1-4695-82AB-00172233DEC1}" destId="{7820AA62-E9F6-41B6-9A0F-83B1B80C5E74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58017FB9-51FF-457F-91AD-8787EF120B4E}" type="presOf" srcId="{4B78E0E0-FFFE-456F-A6F8-547CA468ACB0}" destId="{DE284733-C3D1-47B5-86BE-A99FDA645EBE}" srcOrd="1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67A295A7-2F36-4957-BC14-409C06064C09}" type="presOf" srcId="{1432C652-3C18-4A67-9173-4317F8F9BB5A}" destId="{AE9C4537-B9ED-43B5-B236-463781E0B5F1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830291C4-C7B0-444D-8060-C47D4BE745D5}" type="presParOf" srcId="{AE9C4537-B9ED-43B5-B236-463781E0B5F1}" destId="{9C4BBAED-6D3A-4DAF-B7D7-541EEC62FC34}" srcOrd="0" destOrd="0" presId="urn:microsoft.com/office/officeart/2005/8/layout/hierarchy2"/>
    <dgm:cxn modelId="{55E781C2-C705-4DC2-A927-36B1F1AF009E}" type="presParOf" srcId="{9C4BBAED-6D3A-4DAF-B7D7-541EEC62FC34}" destId="{A79EFA1B-2501-48D9-8B21-660213623D1E}" srcOrd="0" destOrd="0" presId="urn:microsoft.com/office/officeart/2005/8/layout/hierarchy2"/>
    <dgm:cxn modelId="{6E25A36B-4B33-4862-A4EB-0A56F47BE4CA}" type="presParOf" srcId="{9C4BBAED-6D3A-4DAF-B7D7-541EEC62FC34}" destId="{80930816-5F4F-49BC-972B-57D57CEE9805}" srcOrd="1" destOrd="0" presId="urn:microsoft.com/office/officeart/2005/8/layout/hierarchy2"/>
    <dgm:cxn modelId="{63B628DC-2123-403E-80E9-2C6DADEC00B8}" type="presParOf" srcId="{80930816-5F4F-49BC-972B-57D57CEE9805}" destId="{3D294A8E-850B-4B09-95D3-300B8DFC0FFB}" srcOrd="0" destOrd="0" presId="urn:microsoft.com/office/officeart/2005/8/layout/hierarchy2"/>
    <dgm:cxn modelId="{04B95961-C366-40DE-9711-8ED0586F95DC}" type="presParOf" srcId="{3D294A8E-850B-4B09-95D3-300B8DFC0FFB}" destId="{233B0C69-CAAD-4371-A4BF-2ED11A20266C}" srcOrd="0" destOrd="0" presId="urn:microsoft.com/office/officeart/2005/8/layout/hierarchy2"/>
    <dgm:cxn modelId="{CB6CB515-6FAC-42EA-9851-9867EBEED853}" type="presParOf" srcId="{80930816-5F4F-49BC-972B-57D57CEE9805}" destId="{399FF8FE-A1C2-4326-9494-4F643ACF3B2A}" srcOrd="1" destOrd="0" presId="urn:microsoft.com/office/officeart/2005/8/layout/hierarchy2"/>
    <dgm:cxn modelId="{2A72ABDB-4551-43A0-84C2-C05DCC2F30CE}" type="presParOf" srcId="{399FF8FE-A1C2-4326-9494-4F643ACF3B2A}" destId="{4E506095-B50C-41DF-9EA5-82D9279E307C}" srcOrd="0" destOrd="0" presId="urn:microsoft.com/office/officeart/2005/8/layout/hierarchy2"/>
    <dgm:cxn modelId="{73AB883D-E43E-4E93-8C19-0ACCC69D40A8}" type="presParOf" srcId="{399FF8FE-A1C2-4326-9494-4F643ACF3B2A}" destId="{986807FD-581A-411F-9979-11276707C3E9}" srcOrd="1" destOrd="0" presId="urn:microsoft.com/office/officeart/2005/8/layout/hierarchy2"/>
    <dgm:cxn modelId="{51EB2418-4129-4A4C-AFC1-83510A521C1E}" type="presParOf" srcId="{80930816-5F4F-49BC-972B-57D57CEE9805}" destId="{7820AA62-E9F6-41B6-9A0F-83B1B80C5E74}" srcOrd="2" destOrd="0" presId="urn:microsoft.com/office/officeart/2005/8/layout/hierarchy2"/>
    <dgm:cxn modelId="{4F919AAB-962B-4864-BBB8-86489D8BA320}" type="presParOf" srcId="{7820AA62-E9F6-41B6-9A0F-83B1B80C5E74}" destId="{3D70F57C-A13D-45D7-B2D1-9500E065ED89}" srcOrd="0" destOrd="0" presId="urn:microsoft.com/office/officeart/2005/8/layout/hierarchy2"/>
    <dgm:cxn modelId="{38E45E7D-FCEF-489A-A199-7C6327663910}" type="presParOf" srcId="{80930816-5F4F-49BC-972B-57D57CEE9805}" destId="{AD0B8AE8-3360-469B-AB24-37E916C49B37}" srcOrd="3" destOrd="0" presId="urn:microsoft.com/office/officeart/2005/8/layout/hierarchy2"/>
    <dgm:cxn modelId="{49FCAD34-A3F3-405F-87B0-5DD15469929B}" type="presParOf" srcId="{AD0B8AE8-3360-469B-AB24-37E916C49B37}" destId="{9A5AA9B6-51E0-41EB-84BC-9DAECDA57948}" srcOrd="0" destOrd="0" presId="urn:microsoft.com/office/officeart/2005/8/layout/hierarchy2"/>
    <dgm:cxn modelId="{7DBEC955-F355-4830-9D34-29FBE8AD551A}" type="presParOf" srcId="{AD0B8AE8-3360-469B-AB24-37E916C49B37}" destId="{3112A20C-6C41-4D00-9911-0F16B451546C}" srcOrd="1" destOrd="0" presId="urn:microsoft.com/office/officeart/2005/8/layout/hierarchy2"/>
    <dgm:cxn modelId="{9423F158-AA33-4151-85B2-F7118BD05119}" type="presParOf" srcId="{3112A20C-6C41-4D00-9911-0F16B451546C}" destId="{0894BA4C-96A7-4FB5-B1BC-402F40074395}" srcOrd="0" destOrd="0" presId="urn:microsoft.com/office/officeart/2005/8/layout/hierarchy2"/>
    <dgm:cxn modelId="{FA207BDF-069B-4B72-A1A1-94C58D3D1516}" type="presParOf" srcId="{0894BA4C-96A7-4FB5-B1BC-402F40074395}" destId="{A8F34D2F-B59B-4416-A8BB-35A63070F07C}" srcOrd="0" destOrd="0" presId="urn:microsoft.com/office/officeart/2005/8/layout/hierarchy2"/>
    <dgm:cxn modelId="{E7CBE68D-EED7-434B-8139-7FC9BCE01DD5}" type="presParOf" srcId="{3112A20C-6C41-4D00-9911-0F16B451546C}" destId="{3CAE97E3-CC93-4E92-8EAD-1280EC3C04C2}" srcOrd="1" destOrd="0" presId="urn:microsoft.com/office/officeart/2005/8/layout/hierarchy2"/>
    <dgm:cxn modelId="{EE9462DE-48AE-417D-B12B-05375FD69B6D}" type="presParOf" srcId="{3CAE97E3-CC93-4E92-8EAD-1280EC3C04C2}" destId="{4E223AA3-A908-4815-B883-635C4E17CAE0}" srcOrd="0" destOrd="0" presId="urn:microsoft.com/office/officeart/2005/8/layout/hierarchy2"/>
    <dgm:cxn modelId="{3885B4EF-4ADE-47B7-B6B6-AF9C0491347F}" type="presParOf" srcId="{3CAE97E3-CC93-4E92-8EAD-1280EC3C04C2}" destId="{9FB6A310-5CD3-47D6-A4D9-7BB5ED1C8DE0}" srcOrd="1" destOrd="0" presId="urn:microsoft.com/office/officeart/2005/8/layout/hierarchy2"/>
    <dgm:cxn modelId="{2280BDB5-10FD-4947-A658-8A61AA647034}" type="presParOf" srcId="{3112A20C-6C41-4D00-9911-0F16B451546C}" destId="{77FC7958-6F3C-4670-8B8B-99D88E6478F5}" srcOrd="2" destOrd="0" presId="urn:microsoft.com/office/officeart/2005/8/layout/hierarchy2"/>
    <dgm:cxn modelId="{A22B6ACC-13DE-4475-BB07-4F0ED661763C}" type="presParOf" srcId="{77FC7958-6F3C-4670-8B8B-99D88E6478F5}" destId="{C47E0B12-A3DA-4016-ABED-39CD32680EA2}" srcOrd="0" destOrd="0" presId="urn:microsoft.com/office/officeart/2005/8/layout/hierarchy2"/>
    <dgm:cxn modelId="{66F1B71C-8BD1-4239-849B-88B8D9531A5E}" type="presParOf" srcId="{3112A20C-6C41-4D00-9911-0F16B451546C}" destId="{DA3EF3CC-7773-4747-ADA2-6DFED3E4B7B4}" srcOrd="3" destOrd="0" presId="urn:microsoft.com/office/officeart/2005/8/layout/hierarchy2"/>
    <dgm:cxn modelId="{0F505BD3-06A5-4C87-808C-74989E6921B3}" type="presParOf" srcId="{DA3EF3CC-7773-4747-ADA2-6DFED3E4B7B4}" destId="{3F4D7EBD-E6F7-4CDF-ADDB-DFCC192D6894}" srcOrd="0" destOrd="0" presId="urn:microsoft.com/office/officeart/2005/8/layout/hierarchy2"/>
    <dgm:cxn modelId="{130E793E-3A80-4B04-B409-720374D1660F}" type="presParOf" srcId="{DA3EF3CC-7773-4747-ADA2-6DFED3E4B7B4}" destId="{8CF09BC2-104A-4877-8B30-5182564907E6}" srcOrd="1" destOrd="0" presId="urn:microsoft.com/office/officeart/2005/8/layout/hierarchy2"/>
    <dgm:cxn modelId="{9B413A91-EFDE-4550-BDA8-ADB62D61F867}" type="presParOf" srcId="{80930816-5F4F-49BC-972B-57D57CEE9805}" destId="{38D81783-511B-4037-8995-0D9A5100FF3C}" srcOrd="4" destOrd="0" presId="urn:microsoft.com/office/officeart/2005/8/layout/hierarchy2"/>
    <dgm:cxn modelId="{E6590A00-12ED-4EB8-A502-5827D7F2DF18}" type="presParOf" srcId="{38D81783-511B-4037-8995-0D9A5100FF3C}" destId="{DE284733-C3D1-47B5-86BE-A99FDA645EBE}" srcOrd="0" destOrd="0" presId="urn:microsoft.com/office/officeart/2005/8/layout/hierarchy2"/>
    <dgm:cxn modelId="{503C3F7D-CD4B-46AB-B7A6-E59C7519247B}" type="presParOf" srcId="{80930816-5F4F-49BC-972B-57D57CEE9805}" destId="{F6B10290-0AA4-4F2E-8E17-C296C40B5913}" srcOrd="5" destOrd="0" presId="urn:microsoft.com/office/officeart/2005/8/layout/hierarchy2"/>
    <dgm:cxn modelId="{A540C4D3-FE42-41E2-AC62-4098C3DBF6DC}" type="presParOf" srcId="{F6B10290-0AA4-4F2E-8E17-C296C40B5913}" destId="{C73CB3A5-3C76-4015-9D4D-81F572466FF4}" srcOrd="0" destOrd="0" presId="urn:microsoft.com/office/officeart/2005/8/layout/hierarchy2"/>
    <dgm:cxn modelId="{523BC290-E2CE-450C-8116-456F2364C69B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7A241-5396-47F7-9698-C00DCDE2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MetodologíaGx.dot</Template>
  <TotalTime>344</TotalTime>
  <Pages>1</Pages>
  <Words>2830</Words>
  <Characters>15570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18364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Miguel</cp:lastModifiedBy>
  <cp:revision>74</cp:revision>
  <cp:lastPrinted>2002-06-07T02:19:00Z</cp:lastPrinted>
  <dcterms:created xsi:type="dcterms:W3CDTF">2016-10-14T04:29:00Z</dcterms:created>
  <dcterms:modified xsi:type="dcterms:W3CDTF">2016-11-22T05:22:00Z</dcterms:modified>
</cp:coreProperties>
</file>