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360"/>
        <w:ind w:firstLine="0"/>
        <w:jc w:val="center"/>
      </w:pPr>
      <w:r>
        <w:rPr>
          <w:rFonts w:ascii="Arial" w:hAnsi="Arial"/>
          <w:b/>
          <w:i w:val="0"/>
          <w:sz w:val="28"/>
        </w:rPr>
        <w:t>Skimming e scanning computáveis: um relato de design science sobre o artefato Grifo</w:t>
      </w:r>
    </w:p>
    <w:p>
      <w:pPr>
        <w:spacing w:line="360" w:lineRule="auto" w:before="0" w:after="240"/>
        <w:ind w:firstLine="0"/>
        <w:jc w:val="both"/>
      </w:pPr>
      <w:r>
        <w:rPr>
          <w:rFonts w:ascii="Arial" w:hAnsi="Arial"/>
          <w:b/>
          <w:i w:val="0"/>
          <w:sz w:val="24"/>
        </w:rPr>
        <w:t xml:space="preserve">Resumo: </w:t>
      </w:r>
      <w:r>
        <w:rPr>
          <w:rFonts w:ascii="Arial" w:hAnsi="Arial"/>
          <w:b w:val="0"/>
          <w:i w:val="0"/>
          <w:sz w:val="24"/>
        </w:rPr>
        <w:t>Ferramentas de leitura assistida por inteligência artificial costumam colapsar duas técnicas clássicas de leitura rápida, scanning e skimming, em um único resumo automático produzido por modelo de linguagem — o que descaracteriza a própria noção de rapidez, já que a síntese de um modelo local pode levar minutos por artigo. Este artigo relata, sob a ótica da Design Science Research, segundo a metodologia de Peffers et al. (2007), o ciclo de design que reestruturou o Grifo, aplicação web local de leitura assistida de artigos científicos em PDF, para oferecer scanning e skimming como camadas de leitura independentes, determinísticas e instantâneas, dissociadas do custo computacional da leitura profunda por modelo de linguagem. O diagnóstico do artefato revelou que seu scanning dependia indevidamente do modelo e que nenhuma forma de skimming mecânico existia; a partir disso, foram definidos quatro requisitos de design, satisfeitos por uma arquitetura de três camadas — scan, skim e leitura profunda — diferenciadas por custo e por dependência de modelo. A avaliação do ciclo foi conduzida por rastreamento desses requisitos frente à implementação resultante, e não por experimento empírico com usuários, dado o estágio de iniciação científica do trabalho. Discute-se como essa separação reduz o custo de decisão do discente sobre onde investir tempo de leitura aprofundada e preserva a rastreabilidade de cada síntese até sua página de origem no artigo, reforçando o uso consciente das técnicas de leitura rápida em vez de delegá-las integralmente a um sistema automático. Como direção futura, aponta-se a avaliação empírica do impacto dessa separação sobre o tempo e a precisão de decisão do discente.</w:t>
      </w:r>
    </w:p>
    <w:p>
      <w:pPr>
        <w:spacing w:line="360" w:lineRule="auto" w:after="120"/>
        <w:ind w:firstLine="0"/>
        <w:jc w:val="both"/>
      </w:pPr>
      <w:r>
        <w:rPr>
          <w:rFonts w:ascii="Arial" w:hAnsi="Arial"/>
          <w:b/>
          <w:sz w:val="24"/>
        </w:rPr>
        <w:t xml:space="preserve">Palavras-chave: </w:t>
      </w:r>
      <w:r>
        <w:rPr>
          <w:rFonts w:ascii="Arial" w:hAnsi="Arial"/>
          <w:sz w:val="24"/>
        </w:rPr>
        <w:t>Design science research; Skimming; Scanning; Leitura acadêmica; Inteligência artificial local.</w:t>
      </w:r>
    </w:p>
    <w:p>
      <w:pPr>
        <w:spacing w:line="360" w:lineRule="auto" w:before="360" w:after="120"/>
        <w:ind w:firstLine="0" w:left="0"/>
        <w:jc w:val="left"/>
      </w:pPr>
      <w:r>
        <w:rPr>
          <w:rFonts w:ascii="Arial" w:hAnsi="Arial"/>
          <w:b/>
          <w:i w:val="0"/>
          <w:sz w:val="24"/>
        </w:rPr>
        <w:t>1 INTRODUÇÃO</w:t>
      </w:r>
    </w:p>
    <w:p>
      <w:pPr>
        <w:spacing w:line="360" w:lineRule="auto" w:before="0" w:after="120"/>
        <w:ind w:firstLine="709"/>
        <w:jc w:val="both"/>
      </w:pPr>
      <w:r>
        <w:rPr>
          <w:rFonts w:ascii="Arial" w:hAnsi="Arial"/>
          <w:b w:val="0"/>
          <w:i w:val="0"/>
          <w:sz w:val="24"/>
        </w:rPr>
        <w:t>O volume de literatura científica que um discente precisa processar em uma revisão de literatura cresce mais rápido do que sua capacidade de lê-la integralmente. Diante disso, técnicas de leitura rápida — em especial scanning e skimming — são ensinadas há décadas como estratégias para triagem e priorização de textos, permitindo ao leitor decidir, antes de investir tempo em leitura aprofundada, quais fontes merecem essa dedicação (GRELLET, 1981; NUTTALL, 1996). O discente já aplica essas técnicas manualmente, mas sem apoio computacional dedicado a elas.</w:t>
      </w:r>
    </w:p>
    <w:p>
      <w:pPr>
        <w:spacing w:line="360" w:lineRule="auto" w:before="0" w:after="120"/>
        <w:ind w:firstLine="709"/>
        <w:jc w:val="both"/>
      </w:pPr>
      <w:r>
        <w:rPr>
          <w:rFonts w:ascii="Arial" w:hAnsi="Arial"/>
          <w:b w:val="0"/>
          <w:i w:val="0"/>
          <w:sz w:val="24"/>
        </w:rPr>
        <w:t>A disseminação de modelos de linguagem tornou comum a promessa de “resumo automático” de PDFs acadêmicos. Essa promessa, contudo, tende a colapsar duas operações de natureza distinta em uma só: a varredura mecânica do texto — barata, determinística, imediata — e a síntese interpretativa de um modelo de linguagem — cara, probabilística, lenta. Tratar a segunda como se fosse uma forma de leitura rápida é enganoso: um modelo de linguagem local processando um artigo inteiro pode levar minutos, e o resultado, por mais objetivo que seja o prompt, é uma reformulação do texto, não uma operação sobre sua estrutura literal.</w:t>
      </w:r>
    </w:p>
    <w:p>
      <w:pPr>
        <w:spacing w:line="360" w:lineRule="auto" w:before="0" w:after="120"/>
        <w:ind w:firstLine="709"/>
        <w:jc w:val="both"/>
      </w:pPr>
      <w:r>
        <w:rPr>
          <w:rFonts w:ascii="Arial" w:hAnsi="Arial"/>
          <w:b w:val="0"/>
          <w:i w:val="0"/>
          <w:sz w:val="24"/>
        </w:rPr>
        <w:t>Este artigo relata um ciclo de design conduzido no desenvolvimento do Grifo, uma aplicação web local de leitura assistida de artigos científicos em PDF, que originalmente cometia esse mesmo colapso: a busca literal de palavras-chave (scanning, por definição) só era exibida ao usuário depois de uma chamada completa a um modelo de linguagem, e nenhuma forma de skimming mecânico existia no produto. A pergunta que orienta este relato é: como reestruturar um artefato de leitura assistida para que scanning e skimming operem como camadas de leitura independentes, instantâneas e rastreáveis, dissociadas do custo computacional da síntese por modelo de linguagem? A contribuição do artigo é relatar, sob a ótica da Design Science Research (DSR), o ciclo de diagnóstico, definição de requisitos e decisão arquitetural que resultou nessa separação, e discutir de que forma ela se relaciona com o uso pedagógico das técnicas de leitura rápida.</w:t>
      </w:r>
    </w:p>
    <w:p>
      <w:pPr>
        <w:spacing w:line="360" w:lineRule="auto" w:before="360" w:after="120"/>
        <w:ind w:firstLine="0" w:left="0"/>
        <w:jc w:val="left"/>
      </w:pPr>
      <w:r>
        <w:rPr>
          <w:rFonts w:ascii="Arial" w:hAnsi="Arial"/>
          <w:b/>
          <w:i w:val="0"/>
          <w:sz w:val="24"/>
        </w:rPr>
        <w:t>2 REFERENCIAL TEÓRICO</w:t>
      </w:r>
    </w:p>
    <w:p>
      <w:pPr>
        <w:spacing w:line="360" w:lineRule="auto" w:before="240" w:after="120"/>
        <w:ind w:firstLine="0" w:left="0"/>
        <w:jc w:val="left"/>
      </w:pPr>
      <w:r>
        <w:rPr>
          <w:rFonts w:ascii="Arial" w:hAnsi="Arial"/>
          <w:b/>
          <w:i w:val="0"/>
          <w:sz w:val="24"/>
        </w:rPr>
        <w:t>2.1 Skimming e scanning como técnicas de leitura</w:t>
      </w:r>
    </w:p>
    <w:p>
      <w:pPr>
        <w:spacing w:line="360" w:lineRule="auto" w:before="0" w:after="120"/>
        <w:ind w:firstLine="709"/>
        <w:jc w:val="both"/>
      </w:pPr>
      <w:r>
        <w:rPr>
          <w:rFonts w:ascii="Arial" w:hAnsi="Arial"/>
          <w:b w:val="0"/>
          <w:i w:val="0"/>
          <w:sz w:val="24"/>
        </w:rPr>
        <w:t>Skimming e scanning são tratados, na literatura sobre ensino de leitura, como técnicas distintas por servirem a propósitos de leitura diferentes. Segundo Grellet (1981), skimming consiste em correr os olhos rapidamente pelo texto para captar sua ideia geral, enquanto scanning consiste em percorrer o texto em busca de uma informação específica, ignorando o restante do conteúdo. Nuttall (1996) reforça essa distinção ao descrever skimming como “leitura pelo sentido geral” e scanning como “leitura por informação específica”, associando cada técnica a uma decisão de leitura diferente: skimming apoia a decisão sobre se vale a pena ler um texto por inteiro; scanning localiza, dentro de um texto já selecionado, os trechos relevantes a uma pergunta específica.</w:t>
      </w:r>
    </w:p>
    <w:p>
      <w:pPr>
        <w:spacing w:line="360" w:lineRule="auto" w:before="0" w:after="120"/>
        <w:ind w:firstLine="709"/>
        <w:jc w:val="both"/>
      </w:pPr>
      <w:r>
        <w:rPr>
          <w:rFonts w:ascii="Arial" w:hAnsi="Arial"/>
          <w:b w:val="0"/>
          <w:i w:val="0"/>
          <w:sz w:val="24"/>
        </w:rPr>
        <w:t>Em português, Solé (1998) discute estratégias de leitura sob a ótica da formação do leitor autônomo, defendendo que o uso consciente de diferentes propósitos de leitura — e não apenas a leitura linear e integral — é parte constitutiva da compreensão leitora. Essa perspectiva sustenta a hipótese deste artigo: um artefato que nomeie e apoie explicitamente scanning e skimming, em vez de escondê-los atrás de uma síntese única, tende a reforçar no discente o uso consciente dessas técnicas, e não apenas a delegar a leitura a um sistema automático.</w:t>
      </w:r>
    </w:p>
    <w:p>
      <w:pPr>
        <w:spacing w:line="360" w:lineRule="auto" w:before="240" w:after="120"/>
        <w:ind w:firstLine="0" w:left="0"/>
        <w:jc w:val="left"/>
      </w:pPr>
      <w:r>
        <w:rPr>
          <w:rFonts w:ascii="Arial" w:hAnsi="Arial"/>
          <w:b/>
          <w:i w:val="0"/>
          <w:sz w:val="24"/>
        </w:rPr>
        <w:t>2.2 Leitura automática por modelos de linguagem: por que não é skimming</w:t>
      </w:r>
    </w:p>
    <w:p>
      <w:pPr>
        <w:spacing w:line="360" w:lineRule="auto" w:before="0" w:after="120"/>
        <w:ind w:firstLine="709"/>
        <w:jc w:val="both"/>
      </w:pPr>
      <w:r>
        <w:rPr>
          <w:rFonts w:ascii="Arial" w:hAnsi="Arial"/>
          <w:b w:val="0"/>
          <w:i w:val="0"/>
          <w:sz w:val="24"/>
        </w:rPr>
        <w:t>A leitura de um artigo inteiro por um modelo de linguagem, mesmo local e de pequeno porte, difere de skimming e scanning em dois aspectos. Primeiro, o custo: enquanto scanning e skimming mecânicos operam na ordem de milissegundos por serem buscas literais ou varreduras estruturais, um modelo de linguagem rodando em CPU pode levar minutos para processar um único artigo — o que descaracteriza a própria noção de leitura rápida. Segundo, a natureza da operação: skimming e scanning são operações mecânicas sobre a estrutura ou o conteúdo literal do texto, ao passo que a leitura por modelo de linguagem é uma síntese interpretativa, sujeita a reformulação e, no limite, a erro de interpretação. Por essas razões, este artigo trata a leitura por modelo de linguagem como uma terceira categoria — leitura profunda —, distinta de skimming e scanning tanto em custo quanto em natureza.</w:t>
      </w:r>
    </w:p>
    <w:p>
      <w:pPr>
        <w:spacing w:line="360" w:lineRule="auto" w:before="240" w:after="120"/>
        <w:ind w:firstLine="0" w:left="0"/>
        <w:jc w:val="left"/>
      </w:pPr>
      <w:r>
        <w:rPr>
          <w:rFonts w:ascii="Arial" w:hAnsi="Arial"/>
          <w:b/>
          <w:i w:val="0"/>
          <w:sz w:val="24"/>
        </w:rPr>
        <w:t>2.3 Design Science Research</w:t>
      </w:r>
    </w:p>
    <w:p>
      <w:pPr>
        <w:spacing w:line="360" w:lineRule="auto" w:before="0" w:after="120"/>
        <w:ind w:firstLine="709"/>
        <w:jc w:val="both"/>
      </w:pPr>
      <w:r>
        <w:rPr>
          <w:rFonts w:ascii="Arial" w:hAnsi="Arial"/>
          <w:b w:val="0"/>
          <w:i w:val="0"/>
          <w:sz w:val="24"/>
        </w:rPr>
        <w:t>Design Science Research (DSR) é um paradigma de pesquisa voltado à produção e avaliação de artefatos que resolvem problemas práticos identificados em um contexto real (HEVNER et al., 2004). Peffers et al. (2007) propõem uma metodologia de pesquisa em design science (DSRM) organizada em seis atividades: identificação do problema e motivação, definição dos objetivos de uma solução, design e desenvolvimento, demonstração, avaliação e comunicação. Este artigo adota o DSRM como estrutura de relato: o ciclo de reestruturação do Grifo, conduzido durante o desenvolvimento do produto, é reconstruído retrospectivamente segundo essas seis atividades.</w:t>
      </w:r>
    </w:p>
    <w:p>
      <w:pPr>
        <w:spacing w:line="360" w:lineRule="auto" w:before="360" w:after="120"/>
        <w:ind w:firstLine="0" w:left="0"/>
        <w:jc w:val="left"/>
      </w:pPr>
      <w:r>
        <w:rPr>
          <w:rFonts w:ascii="Arial" w:hAnsi="Arial"/>
          <w:b/>
          <w:i w:val="0"/>
          <w:sz w:val="24"/>
        </w:rPr>
        <w:t>3 METODOLOGIA</w:t>
      </w:r>
    </w:p>
    <w:p>
      <w:pPr>
        <w:spacing w:line="360" w:lineRule="auto" w:before="0" w:after="120"/>
        <w:ind w:firstLine="709"/>
        <w:jc w:val="both"/>
      </w:pPr>
      <w:r>
        <w:rPr>
          <w:rFonts w:ascii="Arial" w:hAnsi="Arial"/>
          <w:b w:val="0"/>
          <w:i w:val="0"/>
          <w:sz w:val="24"/>
        </w:rPr>
        <w:t>Este artigo tem natureza de relato de design science: descreve um ciclo de design já executado no desenvolvimento do Grifo, não um ciclo conduzido especificamente para fins deste artigo. A evidência utilizada é dupla: o diagnóstico de código e requisitos registrado na documentação técnica do projeto, e a documentação de produto que descreve o comportamento esperado do artefato antes e depois da reestruturação. O Quadro 1 mapeia as seis atividades do DSRM às seções deste artigo.</w:t>
      </w:r>
    </w:p>
    <w:p>
      <w:pPr>
        <w:spacing w:line="360" w:lineRule="auto" w:before="240" w:after="120"/>
        <w:ind w:firstLine="0"/>
        <w:jc w:val="center"/>
      </w:pPr>
      <w:r>
        <w:rPr>
          <w:rFonts w:ascii="Arial" w:hAnsi="Arial"/>
          <w:b w:val="0"/>
          <w:i w:val="0"/>
          <w:sz w:val="24"/>
        </w:rPr>
        <w:t>Tabela 1 - Mapeamento das atividades do DSRM às seções do artigo</w:t>
      </w:r>
    </w:p>
    <w:tbl>
      <w:tblPr>
        <w:tblStyle w:val="TableGrid"/>
        <w:tblW w:type="auto" w:w="0"/>
        <w:tblLook w:firstColumn="1" w:firstRow="1" w:lastColumn="0" w:lastRow="0" w:noHBand="0" w:noVBand="1" w:val="04A0"/>
      </w:tblPr>
      <w:tblGrid>
        <w:gridCol w:w="4535"/>
        <w:gridCol w:w="4535"/>
      </w:tblGrid>
      <w:tr>
        <w:tc>
          <w:tcPr>
            <w:tcW w:type="dxa" w:w="4535"/>
          </w:tcPr>
          <w:p>
            <w:pPr>
              <w:jc w:val="center"/>
            </w:pPr>
            <w:r/>
            <w:r>
              <w:rPr>
                <w:rFonts w:ascii="Arial" w:hAnsi="Arial"/>
                <w:b/>
                <w:sz w:val="22"/>
              </w:rPr>
              <w:t>Atividade do DSRM</w:t>
            </w:r>
          </w:p>
        </w:tc>
        <w:tc>
          <w:tcPr>
            <w:tcW w:type="dxa" w:w="4535"/>
          </w:tcPr>
          <w:p>
            <w:pPr>
              <w:jc w:val="center"/>
            </w:pPr>
            <w:r/>
            <w:r>
              <w:rPr>
                <w:rFonts w:ascii="Arial" w:hAnsi="Arial"/>
                <w:b/>
                <w:sz w:val="22"/>
              </w:rPr>
              <w:t>Seção deste artigo</w:t>
            </w:r>
          </w:p>
        </w:tc>
      </w:tr>
      <w:tr>
        <w:tc>
          <w:tcPr>
            <w:tcW w:type="dxa" w:w="4535"/>
          </w:tcPr>
          <w:p>
            <w:pPr>
              <w:jc w:val="left"/>
            </w:pPr>
            <w:r/>
            <w:r>
              <w:rPr>
                <w:rFonts w:ascii="Arial" w:hAnsi="Arial"/>
                <w:sz w:val="22"/>
              </w:rPr>
              <w:t>Identificação do problema e motivação</w:t>
            </w:r>
          </w:p>
        </w:tc>
        <w:tc>
          <w:tcPr>
            <w:tcW w:type="dxa" w:w="4535"/>
          </w:tcPr>
          <w:p>
            <w:pPr>
              <w:jc w:val="left"/>
            </w:pPr>
            <w:r/>
            <w:r>
              <w:rPr>
                <w:rFonts w:ascii="Arial" w:hAnsi="Arial"/>
                <w:sz w:val="22"/>
              </w:rPr>
              <w:t>4.2</w:t>
            </w:r>
          </w:p>
        </w:tc>
      </w:tr>
      <w:tr>
        <w:tc>
          <w:tcPr>
            <w:tcW w:type="dxa" w:w="4535"/>
          </w:tcPr>
          <w:p>
            <w:pPr>
              <w:jc w:val="left"/>
            </w:pPr>
            <w:r/>
            <w:r>
              <w:rPr>
                <w:rFonts w:ascii="Arial" w:hAnsi="Arial"/>
                <w:sz w:val="22"/>
              </w:rPr>
              <w:t>Definição dos objetivos da solução</w:t>
            </w:r>
          </w:p>
        </w:tc>
        <w:tc>
          <w:tcPr>
            <w:tcW w:type="dxa" w:w="4535"/>
          </w:tcPr>
          <w:p>
            <w:pPr>
              <w:jc w:val="left"/>
            </w:pPr>
            <w:r/>
            <w:r>
              <w:rPr>
                <w:rFonts w:ascii="Arial" w:hAnsi="Arial"/>
                <w:sz w:val="22"/>
              </w:rPr>
              <w:t>4.3</w:t>
            </w:r>
          </w:p>
        </w:tc>
      </w:tr>
      <w:tr>
        <w:tc>
          <w:tcPr>
            <w:tcW w:type="dxa" w:w="4535"/>
          </w:tcPr>
          <w:p>
            <w:pPr>
              <w:jc w:val="left"/>
            </w:pPr>
            <w:r/>
            <w:r>
              <w:rPr>
                <w:rFonts w:ascii="Arial" w:hAnsi="Arial"/>
                <w:sz w:val="22"/>
              </w:rPr>
              <w:t>Design e desenvolvimento</w:t>
            </w:r>
          </w:p>
        </w:tc>
        <w:tc>
          <w:tcPr>
            <w:tcW w:type="dxa" w:w="4535"/>
          </w:tcPr>
          <w:p>
            <w:pPr>
              <w:jc w:val="left"/>
            </w:pPr>
            <w:r/>
            <w:r>
              <w:rPr>
                <w:rFonts w:ascii="Arial" w:hAnsi="Arial"/>
                <w:sz w:val="22"/>
              </w:rPr>
              <w:t>4.4</w:t>
            </w:r>
          </w:p>
        </w:tc>
      </w:tr>
      <w:tr>
        <w:tc>
          <w:tcPr>
            <w:tcW w:type="dxa" w:w="4535"/>
          </w:tcPr>
          <w:p>
            <w:pPr>
              <w:jc w:val="left"/>
            </w:pPr>
            <w:r/>
            <w:r>
              <w:rPr>
                <w:rFonts w:ascii="Arial" w:hAnsi="Arial"/>
                <w:sz w:val="22"/>
              </w:rPr>
              <w:t>Demonstração</w:t>
            </w:r>
          </w:p>
        </w:tc>
        <w:tc>
          <w:tcPr>
            <w:tcW w:type="dxa" w:w="4535"/>
          </w:tcPr>
          <w:p>
            <w:pPr>
              <w:jc w:val="left"/>
            </w:pPr>
            <w:r/>
            <w:r>
              <w:rPr>
                <w:rFonts w:ascii="Arial" w:hAnsi="Arial"/>
                <w:sz w:val="22"/>
              </w:rPr>
              <w:t>5</w:t>
            </w:r>
          </w:p>
        </w:tc>
      </w:tr>
      <w:tr>
        <w:tc>
          <w:tcPr>
            <w:tcW w:type="dxa" w:w="4535"/>
          </w:tcPr>
          <w:p>
            <w:pPr>
              <w:jc w:val="left"/>
            </w:pPr>
            <w:r/>
            <w:r>
              <w:rPr>
                <w:rFonts w:ascii="Arial" w:hAnsi="Arial"/>
                <w:sz w:val="22"/>
              </w:rPr>
              <w:t>Avaliação</w:t>
            </w:r>
          </w:p>
        </w:tc>
        <w:tc>
          <w:tcPr>
            <w:tcW w:type="dxa" w:w="4535"/>
          </w:tcPr>
          <w:p>
            <w:pPr>
              <w:jc w:val="left"/>
            </w:pPr>
            <w:r/>
            <w:r>
              <w:rPr>
                <w:rFonts w:ascii="Arial" w:hAnsi="Arial"/>
                <w:sz w:val="22"/>
              </w:rPr>
              <w:t>6</w:t>
            </w:r>
          </w:p>
        </w:tc>
      </w:tr>
      <w:tr>
        <w:tc>
          <w:tcPr>
            <w:tcW w:type="dxa" w:w="4535"/>
          </w:tcPr>
          <w:p>
            <w:pPr>
              <w:jc w:val="left"/>
            </w:pPr>
            <w:r/>
            <w:r>
              <w:rPr>
                <w:rFonts w:ascii="Arial" w:hAnsi="Arial"/>
                <w:sz w:val="22"/>
              </w:rPr>
              <w:t>Comunicação</w:t>
            </w:r>
          </w:p>
        </w:tc>
        <w:tc>
          <w:tcPr>
            <w:tcW w:type="dxa" w:w="4535"/>
          </w:tcPr>
          <w:p>
            <w:pPr>
              <w:jc w:val="left"/>
            </w:pPr>
            <w:r/>
            <w:r>
              <w:rPr>
                <w:rFonts w:ascii="Arial" w:hAnsi="Arial"/>
                <w:sz w:val="22"/>
              </w:rPr>
              <w:t>Este artigo</w:t>
            </w:r>
          </w:p>
        </w:tc>
      </w:tr>
    </w:tbl>
    <w:p>
      <w:pPr>
        <w:spacing w:line="360" w:lineRule="auto" w:before="80" w:after="240"/>
        <w:ind w:firstLine="0"/>
        <w:jc w:val="center"/>
      </w:pPr>
      <w:r>
        <w:rPr>
          <w:rFonts w:ascii="Arial" w:hAnsi="Arial"/>
          <w:b w:val="0"/>
          <w:i w:val="0"/>
          <w:sz w:val="22"/>
        </w:rPr>
        <w:t>Fonte: elaborado a partir de Peffers et al. (2007).</w:t>
      </w:r>
    </w:p>
    <w:p>
      <w:pPr>
        <w:spacing w:line="360" w:lineRule="auto" w:before="0" w:after="120"/>
        <w:ind w:firstLine="709"/>
        <w:jc w:val="both"/>
      </w:pPr>
      <w:r>
        <w:rPr>
          <w:rFonts w:ascii="Arial" w:hAnsi="Arial"/>
          <w:b w:val="0"/>
          <w:i w:val="0"/>
          <w:sz w:val="24"/>
        </w:rPr>
        <w:t>A avaliação relatada na seção 6 segue uma estratégia de rastreamento de requisitos: os requisitos definidos na atividade de design são confrontados com evidência de que a implementação os satisfaz. Optou-se por essa estratégia, e não por um experimento com usuários, porque o estágio atual do trabalho é de iniciação científica e a implementação da reestruturação é recente; a avaliação empírica do impacto no discente é indicada como trabalho futuro na seção 8.</w:t>
      </w:r>
    </w:p>
    <w:p>
      <w:pPr>
        <w:spacing w:line="360" w:lineRule="auto" w:before="360" w:after="120"/>
        <w:ind w:firstLine="0" w:left="0"/>
        <w:jc w:val="left"/>
      </w:pPr>
      <w:r>
        <w:rPr>
          <w:rFonts w:ascii="Arial" w:hAnsi="Arial"/>
          <w:b/>
          <w:i w:val="0"/>
          <w:sz w:val="24"/>
        </w:rPr>
        <w:t>4 O ARTEFATO: GRIFO</w:t>
      </w:r>
    </w:p>
    <w:p>
      <w:pPr>
        <w:spacing w:line="360" w:lineRule="auto" w:before="240" w:after="120"/>
        <w:ind w:firstLine="0" w:left="0"/>
        <w:jc w:val="left"/>
      </w:pPr>
      <w:r>
        <w:rPr>
          <w:rFonts w:ascii="Arial" w:hAnsi="Arial"/>
          <w:b/>
          <w:i w:val="0"/>
          <w:sz w:val="24"/>
        </w:rPr>
        <w:t>4.1 Visão geral</w:t>
      </w:r>
    </w:p>
    <w:p>
      <w:pPr>
        <w:spacing w:line="360" w:lineRule="auto" w:before="0" w:after="120"/>
        <w:ind w:firstLine="709"/>
        <w:jc w:val="both"/>
      </w:pPr>
      <w:r>
        <w:rPr>
          <w:rFonts w:ascii="Arial" w:hAnsi="Arial"/>
          <w:b w:val="0"/>
          <w:i w:val="0"/>
          <w:sz w:val="24"/>
        </w:rPr>
        <w:t>O Grifo é uma aplicação web local em que um pesquisador ou discente envia até cinco artigos científicos em PDF por sessão, informa palavras-chave de interesse e recebe, para cada artigo, uma leitura objetiva. Todo o processamento — extração do texto e execução do modelo de linguagem — ocorre na própria máquina do usuário, sem que nenhum trecho do artigo saia do computador local. A promessa central do produto é velocidade sem perda de rastreabilidade: toda síntese produzida pelo artefato deve vir acompanhada do trecho original e do número da página de onde foi extraída.</w:t>
      </w:r>
    </w:p>
    <w:p>
      <w:pPr>
        <w:spacing w:line="360" w:lineRule="auto" w:before="240" w:after="120"/>
        <w:ind w:firstLine="0" w:left="0"/>
        <w:jc w:val="left"/>
      </w:pPr>
      <w:r>
        <w:rPr>
          <w:rFonts w:ascii="Arial" w:hAnsi="Arial"/>
          <w:b/>
          <w:i w:val="0"/>
          <w:sz w:val="24"/>
        </w:rPr>
        <w:t>4.2 Identificação do problema</w:t>
      </w:r>
    </w:p>
    <w:p>
      <w:pPr>
        <w:spacing w:line="360" w:lineRule="auto" w:before="0" w:after="120"/>
        <w:ind w:firstLine="709"/>
        <w:jc w:val="both"/>
      </w:pPr>
      <w:r>
        <w:rPr>
          <w:rFonts w:ascii="Arial" w:hAnsi="Arial"/>
          <w:b w:val="0"/>
          <w:i w:val="0"/>
          <w:sz w:val="24"/>
        </w:rPr>
        <w:t>Um diagnóstico do código-fonte do Grifo identificou três problemas relacionados entre si. Primeiro, o scanning do produto — a busca literal por palavras-chave — estava implementado como uma etapa interna do fluxo de análise por modelo de linguagem: a única forma de o usuário obter contagem de ocorrências, páginas e trechos era disparar a rotina completa de leitura profunda, que abortava caso o modelo de linguagem estivesse indisponível. Com o modelo fora do ar, o usuário não recebia sequer uma contagem de palavra-chave, apesar de essa busca ser, tecnicamente, uma operação de correspondência de texto sem qualquer dependência de modelo. Segundo, não existia nenhuma forma de skimming mecânico no produto: o “essencial” de um artigo só era produzido pelo modelo de linguagem, a um custo de minutos por artigo. Terceiro, a interface nomeava suas abas por artefato de dado — por exemplo, “Keywords” — e não pela intenção de leitura que cada aba efetivamente apoiava, de modo que o produto executava scanning e leitura profunda sem nomeá-los nem diferenciá-los para o usuário.</w:t>
      </w:r>
    </w:p>
    <w:p>
      <w:pPr>
        <w:spacing w:line="360" w:lineRule="auto" w:before="240" w:after="120"/>
        <w:ind w:firstLine="0" w:left="0"/>
        <w:jc w:val="left"/>
      </w:pPr>
      <w:r>
        <w:rPr>
          <w:rFonts w:ascii="Arial" w:hAnsi="Arial"/>
          <w:b/>
          <w:i w:val="0"/>
          <w:sz w:val="24"/>
        </w:rPr>
        <w:t>4.3 Objetivos da solução</w:t>
      </w:r>
    </w:p>
    <w:p>
      <w:pPr>
        <w:spacing w:line="360" w:lineRule="auto" w:before="0" w:after="120"/>
        <w:ind w:firstLine="709"/>
        <w:jc w:val="both"/>
      </w:pPr>
      <w:r>
        <w:rPr>
          <w:rFonts w:ascii="Arial" w:hAnsi="Arial"/>
          <w:b w:val="0"/>
          <w:i w:val="0"/>
          <w:sz w:val="24"/>
        </w:rPr>
        <w:t>A partir do diagnóstico, foram definidos três objetivos para a reestruturação: (i) desacoplar scanning e skimming de qualquer chamada ao modelo de linguagem, de modo que ambos sejam determinísticos e funcionem mesmo com o modelo indisponível; (ii) nomear as camadas de leitura da interface por intenção de leitura, e não por artefato técnico; e (iii) preservar, em todas as camadas, a rastreabilidade até a página de origem, que é a promessa central do produto.</w:t>
      </w:r>
    </w:p>
    <w:p>
      <w:pPr>
        <w:spacing w:line="360" w:lineRule="auto" w:before="240" w:after="120"/>
        <w:ind w:firstLine="0" w:left="0"/>
        <w:jc w:val="left"/>
      </w:pPr>
      <w:r>
        <w:rPr>
          <w:rFonts w:ascii="Arial" w:hAnsi="Arial"/>
          <w:b/>
          <w:i w:val="0"/>
          <w:sz w:val="24"/>
        </w:rPr>
        <w:t>4.4 Design e desenvolvimento: arquitetura em três camadas</w:t>
      </w:r>
    </w:p>
    <w:p>
      <w:pPr>
        <w:spacing w:line="360" w:lineRule="auto" w:before="0" w:after="120"/>
        <w:ind w:firstLine="709"/>
        <w:jc w:val="both"/>
      </w:pPr>
      <w:r>
        <w:rPr>
          <w:rFonts w:ascii="Arial" w:hAnsi="Arial"/>
          <w:b w:val="0"/>
          <w:i w:val="0"/>
          <w:sz w:val="24"/>
        </w:rPr>
        <w:t>A solução de design organiza a leitura em três camadas, diferenciadas por custo computacional e por intenção de leitura, conforme o Quadro 2.</w:t>
      </w:r>
    </w:p>
    <w:p>
      <w:pPr>
        <w:spacing w:line="360" w:lineRule="auto" w:before="240" w:after="120"/>
        <w:ind w:firstLine="0"/>
        <w:jc w:val="center"/>
      </w:pPr>
      <w:r>
        <w:rPr>
          <w:rFonts w:ascii="Arial" w:hAnsi="Arial"/>
          <w:b w:val="0"/>
          <w:i w:val="0"/>
          <w:sz w:val="24"/>
        </w:rPr>
        <w:t>Tabela 2 - Camadas de leitura do Grifo, por custo e dependência de modelo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
              <w:rPr>
                <w:rFonts w:ascii="Arial" w:hAnsi="Arial"/>
                <w:b/>
                <w:sz w:val="22"/>
              </w:rPr>
              <w:t>Camada</w:t>
            </w:r>
          </w:p>
        </w:tc>
        <w:tc>
          <w:tcPr>
            <w:tcW w:type="dxa" w:w="2268"/>
          </w:tcPr>
          <w:p>
            <w:pPr>
              <w:jc w:val="center"/>
            </w:pPr>
            <w:r/>
            <w:r>
              <w:rPr>
                <w:rFonts w:ascii="Arial" w:hAnsi="Arial"/>
                <w:b/>
                <w:sz w:val="22"/>
              </w:rPr>
              <w:t>O que é</w:t>
            </w:r>
          </w:p>
        </w:tc>
        <w:tc>
          <w:tcPr>
            <w:tcW w:type="dxa" w:w="2268"/>
          </w:tcPr>
          <w:p>
            <w:pPr>
              <w:jc w:val="center"/>
            </w:pPr>
            <w:r/>
            <w:r>
              <w:rPr>
                <w:rFonts w:ascii="Arial" w:hAnsi="Arial"/>
                <w:b/>
                <w:sz w:val="22"/>
              </w:rPr>
              <w:t>Custo</w:t>
            </w:r>
          </w:p>
        </w:tc>
        <w:tc>
          <w:tcPr>
            <w:tcW w:type="dxa" w:w="2268"/>
          </w:tcPr>
          <w:p>
            <w:pPr>
              <w:jc w:val="center"/>
            </w:pPr>
            <w:r/>
            <w:r>
              <w:rPr>
                <w:rFonts w:ascii="Arial" w:hAnsi="Arial"/>
                <w:b/>
                <w:sz w:val="22"/>
              </w:rPr>
              <w:t>Depende de modelo de linguagem</w:t>
            </w:r>
          </w:p>
        </w:tc>
      </w:tr>
      <w:tr>
        <w:tc>
          <w:tcPr>
            <w:tcW w:type="dxa" w:w="2268"/>
          </w:tcPr>
          <w:p>
            <w:pPr>
              <w:jc w:val="left"/>
            </w:pPr>
            <w:r/>
            <w:r>
              <w:rPr>
                <w:rFonts w:ascii="Arial" w:hAnsi="Arial"/>
                <w:sz w:val="22"/>
              </w:rPr>
              <w:t>Scan</w:t>
            </w:r>
          </w:p>
        </w:tc>
        <w:tc>
          <w:tcPr>
            <w:tcW w:type="dxa" w:w="2268"/>
          </w:tcPr>
          <w:p>
            <w:pPr>
              <w:jc w:val="left"/>
            </w:pPr>
            <w:r/>
            <w:r>
              <w:rPr>
                <w:rFonts w:ascii="Arial" w:hAnsi="Arial"/>
                <w:sz w:val="22"/>
              </w:rPr>
              <w:t>Varredura do texto em busca de termos específicos, ignorando o restante</w:t>
            </w:r>
          </w:p>
        </w:tc>
        <w:tc>
          <w:tcPr>
            <w:tcW w:type="dxa" w:w="2268"/>
          </w:tcPr>
          <w:p>
            <w:pPr>
              <w:jc w:val="left"/>
            </w:pPr>
            <w:r/>
            <w:r>
              <w:rPr>
                <w:rFonts w:ascii="Arial" w:hAnsi="Arial"/>
                <w:sz w:val="22"/>
              </w:rPr>
              <w:t>Milissegundos</w:t>
            </w:r>
          </w:p>
        </w:tc>
        <w:tc>
          <w:tcPr>
            <w:tcW w:type="dxa" w:w="2268"/>
          </w:tcPr>
          <w:p>
            <w:pPr>
              <w:jc w:val="left"/>
            </w:pPr>
            <w:r/>
            <w:r>
              <w:rPr>
                <w:rFonts w:ascii="Arial" w:hAnsi="Arial"/>
                <w:sz w:val="22"/>
              </w:rPr>
              <w:t>Não</w:t>
            </w:r>
          </w:p>
        </w:tc>
      </w:tr>
      <w:tr>
        <w:tc>
          <w:tcPr>
            <w:tcW w:type="dxa" w:w="2268"/>
          </w:tcPr>
          <w:p>
            <w:pPr>
              <w:jc w:val="left"/>
            </w:pPr>
            <w:r/>
            <w:r>
              <w:rPr>
                <w:rFonts w:ascii="Arial" w:hAnsi="Arial"/>
                <w:sz w:val="22"/>
              </w:rPr>
              <w:t>Skim</w:t>
            </w:r>
          </w:p>
        </w:tc>
        <w:tc>
          <w:tcPr>
            <w:tcW w:type="dxa" w:w="2268"/>
          </w:tcPr>
          <w:p>
            <w:pPr>
              <w:jc w:val="left"/>
            </w:pPr>
            <w:r/>
            <w:r>
              <w:rPr>
                <w:rFonts w:ascii="Arial" w:hAnsi="Arial"/>
                <w:sz w:val="22"/>
              </w:rPr>
              <w:t>Passagem pela estrutura do texto para captar o essencial</w:t>
            </w:r>
          </w:p>
        </w:tc>
        <w:tc>
          <w:tcPr>
            <w:tcW w:type="dxa" w:w="2268"/>
          </w:tcPr>
          <w:p>
            <w:pPr>
              <w:jc w:val="left"/>
            </w:pPr>
            <w:r/>
            <w:r>
              <w:rPr>
                <w:rFonts w:ascii="Arial" w:hAnsi="Arial"/>
                <w:sz w:val="22"/>
              </w:rPr>
              <w:t>Milissegundos</w:t>
            </w:r>
          </w:p>
        </w:tc>
        <w:tc>
          <w:tcPr>
            <w:tcW w:type="dxa" w:w="2268"/>
          </w:tcPr>
          <w:p>
            <w:pPr>
              <w:jc w:val="left"/>
            </w:pPr>
            <w:r/>
            <w:r>
              <w:rPr>
                <w:rFonts w:ascii="Arial" w:hAnsi="Arial"/>
                <w:sz w:val="22"/>
              </w:rPr>
              <w:t>Não</w:t>
            </w:r>
          </w:p>
        </w:tc>
      </w:tr>
      <w:tr>
        <w:tc>
          <w:tcPr>
            <w:tcW w:type="dxa" w:w="2268"/>
          </w:tcPr>
          <w:p>
            <w:pPr>
              <w:jc w:val="left"/>
            </w:pPr>
            <w:r/>
            <w:r>
              <w:rPr>
                <w:rFonts w:ascii="Arial" w:hAnsi="Arial"/>
                <w:sz w:val="22"/>
              </w:rPr>
              <w:t>Leitura profunda</w:t>
            </w:r>
          </w:p>
        </w:tc>
        <w:tc>
          <w:tcPr>
            <w:tcW w:type="dxa" w:w="2268"/>
          </w:tcPr>
          <w:p>
            <w:pPr>
              <w:jc w:val="left"/>
            </w:pPr>
            <w:r/>
            <w:r>
              <w:rPr>
                <w:rFonts w:ascii="Arial" w:hAnsi="Arial"/>
                <w:sz w:val="22"/>
              </w:rPr>
              <w:t>Síntese interpretativa do artigo inteiro</w:t>
            </w:r>
          </w:p>
        </w:tc>
        <w:tc>
          <w:tcPr>
            <w:tcW w:type="dxa" w:w="2268"/>
          </w:tcPr>
          <w:p>
            <w:pPr>
              <w:jc w:val="left"/>
            </w:pPr>
            <w:r/>
            <w:r>
              <w:rPr>
                <w:rFonts w:ascii="Arial" w:hAnsi="Arial"/>
                <w:sz w:val="22"/>
              </w:rPr>
              <w:t>Minutos</w:t>
            </w:r>
          </w:p>
        </w:tc>
        <w:tc>
          <w:tcPr>
            <w:tcW w:type="dxa" w:w="2268"/>
          </w:tcPr>
          <w:p>
            <w:pPr>
              <w:jc w:val="left"/>
            </w:pPr>
            <w:r/>
            <w:r>
              <w:rPr>
                <w:rFonts w:ascii="Arial" w:hAnsi="Arial"/>
                <w:sz w:val="22"/>
              </w:rPr>
              <w:t>Sim</w:t>
            </w:r>
          </w:p>
        </w:tc>
      </w:tr>
    </w:tbl>
    <w:p>
      <w:pPr>
        <w:spacing w:line="360" w:lineRule="auto" w:before="80" w:after="240"/>
        <w:ind w:firstLine="0"/>
        <w:jc w:val="center"/>
      </w:pPr>
      <w:r>
        <w:rPr>
          <w:rFonts w:ascii="Arial" w:hAnsi="Arial"/>
          <w:b w:val="0"/>
          <w:i w:val="0"/>
          <w:sz w:val="22"/>
        </w:rPr>
        <w:t>Fonte: elaborado pelos autores a partir do diagnóstico de código do projeto.</w:t>
      </w:r>
    </w:p>
    <w:p>
      <w:pPr>
        <w:spacing w:line="360" w:lineRule="auto" w:before="0" w:after="120"/>
        <w:ind w:firstLine="709"/>
        <w:jc w:val="both"/>
      </w:pPr>
      <w:r>
        <w:rPr>
          <w:rFonts w:ascii="Arial" w:hAnsi="Arial"/>
          <w:b w:val="0"/>
          <w:i w:val="0"/>
          <w:sz w:val="24"/>
        </w:rPr>
        <w:t>Essa arquitetura foi operacionalizada em quatro requisitos. O primeiro (R1) exige que a busca literal de palavras-chave esteja disponível por rota própria, sem depender de qualquer chamada ao modelo de linguagem, exibindo contagem, páginas, densidade por mil palavras e trechos destacados assim que o PDF é enviado e as palavras-chave informadas — antes de qualquer análise por modelo. O segundo (R2) exige um módulo de skimming mecânico, implementado como código puro, sem qualquer chamada a servidor web ou a modelo de linguagem, que produz a partir do texto já extraído: o título do artigo e os títulos de seção detectados; o primeiro parágrafo de cada seção; a primeira e a última frase dos demais parágrafos; as frases que contêm dados numéricos; e as frases com marcadores de conclusão. Cada item produzido carrega a página de origem, preservando a rastreabilidade exigida pelo terceiro objetivo. O terceiro requisito (R3) renomeia as abas da interface por intenção de leitura — Scan, Skim e Leitura profunda —, acompanhadas de uma nota curta que explica quando usar cada modo. O quarto requisito (R4) exige a correção da documentação do produto para refletir esse comportamento.</w:t>
      </w:r>
    </w:p>
    <w:p>
      <w:pPr>
        <w:spacing w:line="360" w:lineRule="auto" w:before="360" w:after="120"/>
        <w:ind w:firstLine="0" w:left="0"/>
        <w:jc w:val="left"/>
      </w:pPr>
      <w:r>
        <w:rPr>
          <w:rFonts w:ascii="Arial" w:hAnsi="Arial"/>
          <w:b/>
          <w:i w:val="0"/>
          <w:sz w:val="24"/>
        </w:rPr>
        <w:t>5 DEMONSTRAÇÃO</w:t>
      </w:r>
    </w:p>
    <w:p>
      <w:pPr>
        <w:spacing w:line="360" w:lineRule="auto" w:before="0" w:after="120"/>
        <w:ind w:firstLine="709"/>
        <w:jc w:val="both"/>
      </w:pPr>
      <w:r>
        <w:rPr>
          <w:rFonts w:ascii="Arial" w:hAnsi="Arial"/>
          <w:b w:val="0"/>
          <w:i w:val="0"/>
          <w:sz w:val="24"/>
        </w:rPr>
        <w:t>O uso do artefato reestruturado pode ser ilustrado por um cenário típico de revisão de literatura. Um discente envia um PDF ao Grifo e informa as palavras-chave de interesse para sua pesquisa. Em milissegundos, antes de qualquer chamada ao modelo de linguagem, o discente recebe simultaneamente: o resultado do scan — contagem de ocorrências de cada palavra-chave, páginas em que aparecem, densidade por mil palavras e os trechos originais com o termo destacado —; e o resultado do skim — a estrutura do artigo, as seções detectadas, a abertura de cada seção e as frases que concentram dados numéricos ou marcam conclusões, cada uma com a página de origem.</w:t>
      </w:r>
    </w:p>
    <w:p>
      <w:pPr>
        <w:spacing w:line="360" w:lineRule="auto" w:before="0" w:after="120"/>
        <w:ind w:firstLine="709"/>
        <w:jc w:val="both"/>
      </w:pPr>
      <w:r>
        <w:rPr>
          <w:rFonts w:ascii="Arial" w:hAnsi="Arial"/>
          <w:b w:val="0"/>
          <w:i w:val="0"/>
          <w:sz w:val="24"/>
        </w:rPr>
        <w:t>Com essas duas camadas, o discente pode decidir, sem esperar pela leitura profunda, se o artigo é relevante para sua pesquisa (o termo procurado aparece? em qual densidade?) e se vale a pena investir tempo lendo-o por inteiro (a estrutura e as frases-chave do skim sugerem que o artigo trata do assunto de interesse?). Somente após essa triagem, e caso o discente decida aprofundar a leitura, a leitura profunda é disparada, produzindo resumo estruturado, achados com evidência e limitações — dados que, com o modelo de linguagem indisponível, o produto sinaliza como indisponíveis, sem comprometer scan e skim, que continuam funcionando por inteiro.</w:t>
      </w:r>
    </w:p>
    <w:p>
      <w:pPr>
        <w:spacing w:line="360" w:lineRule="auto" w:before="360" w:after="120"/>
        <w:ind w:firstLine="0" w:left="0"/>
        <w:jc w:val="left"/>
      </w:pPr>
      <w:r>
        <w:rPr>
          <w:rFonts w:ascii="Arial" w:hAnsi="Arial"/>
          <w:b/>
          <w:i w:val="0"/>
          <w:sz w:val="24"/>
        </w:rPr>
        <w:t>6 AVALIAÇÃO</w:t>
      </w:r>
    </w:p>
    <w:p>
      <w:pPr>
        <w:spacing w:line="360" w:lineRule="auto" w:before="0" w:after="120"/>
        <w:ind w:firstLine="709"/>
        <w:jc w:val="both"/>
      </w:pPr>
      <w:r>
        <w:rPr>
          <w:rFonts w:ascii="Arial" w:hAnsi="Arial"/>
          <w:b w:val="0"/>
          <w:i w:val="0"/>
          <w:sz w:val="24"/>
        </w:rPr>
        <w:t>A avaliação deste ciclo de design foi conduzida por rastreamento dos quatro requisitos definidos na seção 4.3 frente à implementação resultante, conforme o Quadro 3. Essa estratégia avalia se o artefato foi construído conforme especificado; não mede, por si só, ganho de tempo ou de compreensão por parte do discente — lacuna discutida na seção 8.</w:t>
      </w:r>
    </w:p>
    <w:p>
      <w:pPr>
        <w:spacing w:line="360" w:lineRule="auto" w:before="240" w:after="120"/>
        <w:ind w:firstLine="0"/>
        <w:jc w:val="center"/>
      </w:pPr>
      <w:r>
        <w:rPr>
          <w:rFonts w:ascii="Arial" w:hAnsi="Arial"/>
          <w:b w:val="0"/>
          <w:i w:val="0"/>
          <w:sz w:val="24"/>
        </w:rPr>
        <w:t>Tabela 3 - Rastreamento de requisitos e evidência de satisfação</w:t>
      </w:r>
    </w:p>
    <w:tbl>
      <w:tblPr>
        <w:tblStyle w:val="TableGrid"/>
        <w:tblW w:type="auto" w:w="0"/>
        <w:tblLook w:firstColumn="1" w:firstRow="1" w:lastColumn="0" w:lastRow="0" w:noHBand="0" w:noVBand="1" w:val="04A0"/>
      </w:tblPr>
      <w:tblGrid>
        <w:gridCol w:w="4535"/>
        <w:gridCol w:w="4535"/>
      </w:tblGrid>
      <w:tr>
        <w:tc>
          <w:tcPr>
            <w:tcW w:type="dxa" w:w="4535"/>
          </w:tcPr>
          <w:p>
            <w:pPr>
              <w:jc w:val="center"/>
            </w:pPr>
            <w:r/>
            <w:r>
              <w:rPr>
                <w:rFonts w:ascii="Arial" w:hAnsi="Arial"/>
                <w:b/>
                <w:sz w:val="22"/>
              </w:rPr>
              <w:t>Requisito</w:t>
            </w:r>
          </w:p>
        </w:tc>
        <w:tc>
          <w:tcPr>
            <w:tcW w:type="dxa" w:w="4535"/>
          </w:tcPr>
          <w:p>
            <w:pPr>
              <w:jc w:val="center"/>
            </w:pPr>
            <w:r/>
            <w:r>
              <w:rPr>
                <w:rFonts w:ascii="Arial" w:hAnsi="Arial"/>
                <w:b/>
                <w:sz w:val="22"/>
              </w:rPr>
              <w:t>Evidência de satisfação</w:t>
            </w:r>
          </w:p>
        </w:tc>
      </w:tr>
      <w:tr>
        <w:tc>
          <w:tcPr>
            <w:tcW w:type="dxa" w:w="4535"/>
          </w:tcPr>
          <w:p>
            <w:pPr>
              <w:jc w:val="left"/>
            </w:pPr>
            <w:r/>
            <w:r>
              <w:rPr>
                <w:rFonts w:ascii="Arial" w:hAnsi="Arial"/>
                <w:sz w:val="22"/>
              </w:rPr>
              <w:t>R1 — Scan instantâneo e independente do modelo</w:t>
            </w:r>
          </w:p>
        </w:tc>
        <w:tc>
          <w:tcPr>
            <w:tcW w:type="dxa" w:w="4535"/>
          </w:tcPr>
          <w:p>
            <w:pPr>
              <w:jc w:val="left"/>
            </w:pPr>
            <w:r/>
            <w:r>
              <w:rPr>
                <w:rFonts w:ascii="Arial" w:hAnsi="Arial"/>
                <w:sz w:val="22"/>
              </w:rPr>
              <w:t>Rota própria de scan responde sem passar pela rotina de análise por modelo; o scan permanece funcional com o modelo de linguagem indisponível.</w:t>
            </w:r>
          </w:p>
        </w:tc>
      </w:tr>
      <w:tr>
        <w:tc>
          <w:tcPr>
            <w:tcW w:type="dxa" w:w="4535"/>
          </w:tcPr>
          <w:p>
            <w:pPr>
              <w:jc w:val="left"/>
            </w:pPr>
            <w:r/>
            <w:r>
              <w:rPr>
                <w:rFonts w:ascii="Arial" w:hAnsi="Arial"/>
                <w:sz w:val="22"/>
              </w:rPr>
              <w:t>R2 — Skim mecânico, sem modelo</w:t>
            </w:r>
          </w:p>
        </w:tc>
        <w:tc>
          <w:tcPr>
            <w:tcW w:type="dxa" w:w="4535"/>
          </w:tcPr>
          <w:p>
            <w:pPr>
              <w:jc w:val="left"/>
            </w:pPr>
            <w:r/>
            <w:r>
              <w:rPr>
                <w:rFonts w:ascii="Arial" w:hAnsi="Arial"/>
                <w:sz w:val="22"/>
              </w:rPr>
              <w:t>Módulo de skim implementado como código puro, sem dependência de servidor web nem de modelo de linguagem; testável sem rede.</w:t>
            </w:r>
          </w:p>
        </w:tc>
      </w:tr>
      <w:tr>
        <w:tc>
          <w:tcPr>
            <w:tcW w:type="dxa" w:w="4535"/>
          </w:tcPr>
          <w:p>
            <w:pPr>
              <w:jc w:val="left"/>
            </w:pPr>
            <w:r/>
            <w:r>
              <w:rPr>
                <w:rFonts w:ascii="Arial" w:hAnsi="Arial"/>
                <w:sz w:val="22"/>
              </w:rPr>
              <w:t>R3 — Nomear as camadas na interface</w:t>
            </w:r>
          </w:p>
        </w:tc>
        <w:tc>
          <w:tcPr>
            <w:tcW w:type="dxa" w:w="4535"/>
          </w:tcPr>
          <w:p>
            <w:pPr>
              <w:jc w:val="left"/>
            </w:pPr>
            <w:r/>
            <w:r>
              <w:rPr>
                <w:rFonts w:ascii="Arial" w:hAnsi="Arial"/>
                <w:sz w:val="22"/>
              </w:rPr>
              <w:t>Abas da interface renomeadas por intenção de leitura (Scan, Skim, Leitura profunda), com nota explicativa de uso de cada modo.</w:t>
            </w:r>
          </w:p>
        </w:tc>
      </w:tr>
      <w:tr>
        <w:tc>
          <w:tcPr>
            <w:tcW w:type="dxa" w:w="4535"/>
          </w:tcPr>
          <w:p>
            <w:pPr>
              <w:jc w:val="left"/>
            </w:pPr>
            <w:r/>
            <w:r>
              <w:rPr>
                <w:rFonts w:ascii="Arial" w:hAnsi="Arial"/>
                <w:sz w:val="22"/>
              </w:rPr>
              <w:t>R4 — Documentação coerente com o código</w:t>
            </w:r>
          </w:p>
        </w:tc>
        <w:tc>
          <w:tcPr>
            <w:tcW w:type="dxa" w:w="4535"/>
          </w:tcPr>
          <w:p>
            <w:pPr>
              <w:jc w:val="left"/>
            </w:pPr>
            <w:r/>
            <w:r>
              <w:rPr>
                <w:rFonts w:ascii="Arial" w:hAnsi="Arial"/>
                <w:sz w:val="22"/>
              </w:rPr>
              <w:t>Documentação do produto corrigida para descrever o comportamento real de cada camada.</w:t>
            </w:r>
          </w:p>
        </w:tc>
      </w:tr>
    </w:tbl>
    <w:p>
      <w:pPr>
        <w:spacing w:line="360" w:lineRule="auto" w:before="80" w:after="240"/>
        <w:ind w:firstLine="0"/>
        <w:jc w:val="center"/>
      </w:pPr>
      <w:r>
        <w:rPr>
          <w:rFonts w:ascii="Arial" w:hAnsi="Arial"/>
          <w:b w:val="0"/>
          <w:i w:val="0"/>
          <w:sz w:val="22"/>
        </w:rPr>
        <w:t>Fonte: elaborado pelos autores.</w:t>
      </w:r>
    </w:p>
    <w:p>
      <w:pPr>
        <w:spacing w:line="360" w:lineRule="auto" w:before="360" w:after="120"/>
        <w:ind w:firstLine="0" w:left="0"/>
        <w:jc w:val="left"/>
      </w:pPr>
      <w:r>
        <w:rPr>
          <w:rFonts w:ascii="Arial" w:hAnsi="Arial"/>
          <w:b/>
          <w:i w:val="0"/>
          <w:sz w:val="24"/>
        </w:rPr>
        <w:t>7 DISCUSSÃO</w:t>
      </w:r>
    </w:p>
    <w:p>
      <w:pPr>
        <w:spacing w:line="360" w:lineRule="auto" w:before="0" w:after="120"/>
        <w:ind w:firstLine="709"/>
        <w:jc w:val="both"/>
      </w:pPr>
      <w:r>
        <w:rPr>
          <w:rFonts w:ascii="Arial" w:hAnsi="Arial"/>
          <w:b w:val="0"/>
          <w:i w:val="0"/>
          <w:sz w:val="24"/>
        </w:rPr>
        <w:t>A separação em camadas discutida neste artigo se relaciona com o uso pedagógico de scanning e skimming de três formas. Primeiro, ao eliminar o custo de espera da etapa de triagem, a decisão do discente sobre aprofundar ou descartar um artigo deixa de competir com o tempo de inferência do modelo de linguagem — uma barreira que, na versão anterior do artefato, podia levar minutos antes de qualquer informação estar disponível. Segundo, a rastreabilidade preservada em cada camada — cada trecho do scan e cada item do skim carregando sua página de origem — reduz o custo de verificação: o discente confere a fonte sem precisar localizá-la manualmente no documento original. Terceiro, ao nomear as camadas por intenção de leitura, a interface comunica explicitamente quando usar cada técnica — scan para localizar um termo, skim para decidir se um artigo merece leitura completa, leitura profunda para de fato lê-lo —, o que aproxima o artefato de um papel de apoio ao método de leitura, e não apenas de entrega de um resultado pronto.</w:t>
      </w:r>
    </w:p>
    <w:p>
      <w:pPr>
        <w:spacing w:line="360" w:lineRule="auto" w:before="0" w:after="120"/>
        <w:ind w:firstLine="709"/>
        <w:jc w:val="both"/>
      </w:pPr>
      <w:r>
        <w:rPr>
          <w:rFonts w:ascii="Arial" w:hAnsi="Arial"/>
          <w:b w:val="0"/>
          <w:i w:val="0"/>
          <w:sz w:val="24"/>
        </w:rPr>
        <w:t>Essa relação com a literatura de leitura discutida na seção 2.1 não altera a definição pedagógica de scanning e skimming: o artefato as operacionaliza como funções computáveis sobre um texto já extraído, sem pretender substituir o julgamento do leitor sobre o que é relevante. É esse ponto que distingue a contribuição deste relato de uma ferramenta de “resumo automático” genérica: a insistência em manter scanning e skimming como camadas rápidas e auditáveis, e em não vender a leitura por modelo de linguagem como uma forma de leitura rápida.</w:t>
      </w:r>
    </w:p>
    <w:p>
      <w:pPr>
        <w:spacing w:line="360" w:lineRule="auto" w:before="360" w:after="120"/>
        <w:ind w:firstLine="0" w:left="0"/>
        <w:jc w:val="left"/>
      </w:pPr>
      <w:r>
        <w:rPr>
          <w:rFonts w:ascii="Arial" w:hAnsi="Arial"/>
          <w:b/>
          <w:i w:val="0"/>
          <w:sz w:val="24"/>
        </w:rPr>
        <w:t>8 CONSIDERAÇÕES FINAIS</w:t>
      </w:r>
    </w:p>
    <w:p>
      <w:pPr>
        <w:spacing w:line="360" w:lineRule="auto" w:before="0" w:after="120"/>
        <w:ind w:firstLine="709"/>
        <w:jc w:val="both"/>
      </w:pPr>
      <w:r>
        <w:rPr>
          <w:rFonts w:ascii="Arial" w:hAnsi="Arial"/>
          <w:b w:val="0"/>
          <w:i w:val="0"/>
          <w:sz w:val="24"/>
        </w:rPr>
        <w:t>Este artigo relatou, sob a ótica da Design Science Research, um ciclo de design que reposicionou a leitura automática por modelo de linguagem como uma terceira categoria — leitura profunda —, distinta de scanning e skimming, e reestruturou o artefato Grifo para oferecer essas duas técnicas como camadas de leitura independentes, determinísticas e instantâneas. O diagnóstico do problema, os requisitos definidos e a arquitetura resultante foram apresentados e avaliados por rastreamento de requisitos frente à implementação.</w:t>
      </w:r>
    </w:p>
    <w:p>
      <w:pPr>
        <w:spacing w:line="360" w:lineRule="auto" w:before="0" w:after="120"/>
        <w:ind w:firstLine="709"/>
        <w:jc w:val="both"/>
      </w:pPr>
      <w:r>
        <w:rPr>
          <w:rFonts w:ascii="Arial" w:hAnsi="Arial"/>
          <w:b w:val="0"/>
          <w:i w:val="0"/>
          <w:sz w:val="24"/>
        </w:rPr>
        <w:t>A principal limitação deste trabalho é a ausência de avaliação empírica com usuários: não há, neste estágio, medição de ganho de tempo ou de compreensão por parte do discente ao usar as camadas de scan e skim frente à leitura integral do artigo ou a uma ferramenta de resumo automático genérica. Como trabalhos futuros, aponta-se: (i) a condução de um estudo empírico com discentes, medindo tempo até a decisão de aprofundar a leitura e a precisão dessa decisão frente à leitura integral do artigo; (ii) o refinamento da precisão de página nos achados produzidos pela leitura profunda; e (iii) um visualizador embutido do PDF anotado pelo artefato, hoje disponível apenas como arquivo para download.</w:t>
      </w:r>
    </w:p>
    <w:p>
      <w:pPr>
        <w:spacing w:line="360" w:lineRule="auto" w:before="360" w:after="240"/>
        <w:ind w:firstLine="0"/>
        <w:jc w:val="center"/>
      </w:pPr>
      <w:r>
        <w:rPr>
          <w:rFonts w:ascii="Arial" w:hAnsi="Arial"/>
          <w:b/>
          <w:i w:val="0"/>
          <w:sz w:val="24"/>
        </w:rPr>
        <w:t>REFERÊNCIAS</w:t>
      </w:r>
    </w:p>
    <w:p>
      <w:pPr>
        <w:spacing w:line="240" w:lineRule="auto" w:before="0" w:after="240"/>
        <w:ind w:firstLine="0"/>
        <w:jc w:val="left"/>
      </w:pPr>
      <w:r>
        <w:rPr>
          <w:rFonts w:ascii="Arial" w:hAnsi="Arial"/>
          <w:b w:val="0"/>
          <w:i w:val="0"/>
          <w:sz w:val="24"/>
        </w:rPr>
        <w:t>GRELLET, F. Developing reading skills: a practical guide to reading comprehension exercises. Cambridge: Cambridge University Press, 1981.</w:t>
      </w:r>
    </w:p>
    <w:p>
      <w:pPr>
        <w:spacing w:line="240" w:lineRule="auto" w:before="0" w:after="240"/>
        <w:ind w:firstLine="0"/>
        <w:jc w:val="left"/>
      </w:pPr>
      <w:r>
        <w:rPr>
          <w:rFonts w:ascii="Arial" w:hAnsi="Arial"/>
          <w:b w:val="0"/>
          <w:i w:val="0"/>
          <w:sz w:val="24"/>
        </w:rPr>
        <w:t>HEVNER, A. R.; MARCH, S. T.; PARK, J.; RAM, S. Design science in information systems research. MIS Quarterly, v. 28, n. 1, p. 75-105, 2004.</w:t>
      </w:r>
    </w:p>
    <w:p>
      <w:pPr>
        <w:spacing w:line="240" w:lineRule="auto" w:before="0" w:after="240"/>
        <w:ind w:firstLine="0"/>
        <w:jc w:val="left"/>
      </w:pPr>
      <w:r>
        <w:rPr>
          <w:rFonts w:ascii="Arial" w:hAnsi="Arial"/>
          <w:b w:val="0"/>
          <w:i w:val="0"/>
          <w:sz w:val="24"/>
        </w:rPr>
        <w:t>NUTTALL, C. Teaching reading skills in a foreign language. 2. ed. Oxford: Macmillan Heinemann, 1996.</w:t>
      </w:r>
    </w:p>
    <w:p>
      <w:pPr>
        <w:spacing w:line="240" w:lineRule="auto" w:before="0" w:after="240"/>
        <w:ind w:firstLine="0"/>
        <w:jc w:val="left"/>
      </w:pPr>
      <w:r>
        <w:rPr>
          <w:rFonts w:ascii="Arial" w:hAnsi="Arial"/>
          <w:b w:val="0"/>
          <w:i w:val="0"/>
          <w:sz w:val="24"/>
        </w:rPr>
        <w:t>PEFFERS, K.; TUUNANEN, T.; ROTHENBERGER, M.; CHATTERJEE, S. A design science research methodology for information systems research. Journal of Management Information Systems, v. 24, n. 3, p. 45-77, 2007.</w:t>
      </w:r>
    </w:p>
    <w:p>
      <w:pPr>
        <w:spacing w:line="240" w:lineRule="auto" w:before="0" w:after="240"/>
        <w:ind w:firstLine="0"/>
        <w:jc w:val="left"/>
      </w:pPr>
      <w:r>
        <w:rPr>
          <w:rFonts w:ascii="Arial" w:hAnsi="Arial"/>
          <w:b w:val="0"/>
          <w:i w:val="0"/>
          <w:sz w:val="24"/>
        </w:rPr>
        <w:t>SOLÉ, I. Estratégias de leitura. Porto Alegre: Artmed, 1998.</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