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4E398A77"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59E6FA5" w:rsidR="00531FBF" w:rsidRPr="00B7788F" w:rsidRDefault="00F8204C" w:rsidP="00B7788F">
            <w:pPr>
              <w:contextualSpacing/>
              <w:jc w:val="center"/>
              <w:rPr>
                <w:rFonts w:eastAsia="Times New Roman" w:cstheme="minorHAnsi"/>
                <w:b/>
                <w:bCs/>
                <w:sz w:val="22"/>
                <w:szCs w:val="22"/>
              </w:rPr>
            </w:pPr>
            <w:r>
              <w:rPr>
                <w:rFonts w:eastAsia="Times New Roman" w:cstheme="minorHAnsi"/>
                <w:b/>
                <w:bCs/>
                <w:sz w:val="22"/>
                <w:szCs w:val="22"/>
              </w:rPr>
              <w:t>04/20/2025</w:t>
            </w:r>
          </w:p>
        </w:tc>
        <w:tc>
          <w:tcPr>
            <w:tcW w:w="2338" w:type="dxa"/>
            <w:tcMar>
              <w:left w:w="115" w:type="dxa"/>
              <w:right w:w="115" w:type="dxa"/>
            </w:tcMar>
          </w:tcPr>
          <w:p w14:paraId="07699096" w14:textId="16C6792A" w:rsidR="00531FBF" w:rsidRPr="00B7788F" w:rsidRDefault="00F8204C" w:rsidP="00B7788F">
            <w:pPr>
              <w:contextualSpacing/>
              <w:jc w:val="center"/>
              <w:rPr>
                <w:rFonts w:eastAsia="Times New Roman" w:cstheme="minorHAnsi"/>
                <w:b/>
                <w:bCs/>
                <w:sz w:val="22"/>
                <w:szCs w:val="22"/>
              </w:rPr>
            </w:pPr>
            <w:r>
              <w:rPr>
                <w:rFonts w:eastAsia="Times New Roman" w:cstheme="minorHAnsi"/>
                <w:b/>
                <w:bCs/>
                <w:sz w:val="22"/>
                <w:szCs w:val="22"/>
              </w:rPr>
              <w:t>Jose Moreno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C1D08A1" w:rsidR="00485402" w:rsidRPr="00B7788F" w:rsidRDefault="00F8204C" w:rsidP="00D47759">
      <w:pPr>
        <w:contextualSpacing/>
        <w:rPr>
          <w:rFonts w:cstheme="minorHAnsi"/>
          <w:sz w:val="22"/>
          <w:szCs w:val="22"/>
        </w:rPr>
      </w:pPr>
      <w:r>
        <w:rPr>
          <w:rFonts w:cstheme="minorHAnsi"/>
          <w:sz w:val="22"/>
          <w:szCs w:val="22"/>
        </w:rPr>
        <w:t>Jose Moreno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458BD3A" w14:textId="35249A71" w:rsidR="0000483F" w:rsidRPr="0000483F" w:rsidRDefault="0000483F" w:rsidP="0000483F">
      <w:pPr>
        <w:contextualSpacing/>
        <w:rPr>
          <w:rFonts w:eastAsia="Times New Roman"/>
          <w:sz w:val="22"/>
          <w:szCs w:val="22"/>
        </w:rPr>
      </w:pPr>
      <w:r w:rsidRPr="0000483F">
        <w:rPr>
          <w:rFonts w:eastAsia="Times New Roman"/>
          <w:sz w:val="22"/>
          <w:szCs w:val="22"/>
        </w:rPr>
        <w:t xml:space="preserve">For Artemis </w:t>
      </w:r>
      <w:proofErr w:type="spellStart"/>
      <w:r w:rsidRPr="0000483F">
        <w:rPr>
          <w:rFonts w:eastAsia="Times New Roman"/>
          <w:sz w:val="22"/>
          <w:szCs w:val="22"/>
        </w:rPr>
        <w:t>Financial’s</w:t>
      </w:r>
      <w:proofErr w:type="spellEnd"/>
      <w:r w:rsidRPr="0000483F">
        <w:rPr>
          <w:rFonts w:eastAsia="Times New Roman"/>
          <w:sz w:val="22"/>
          <w:szCs w:val="22"/>
        </w:rPr>
        <w:t xml:space="preserve"> security needs, the Advanced Encryption Standard (AES) is the recommended cipher. To support checksum verification, a cryptographic hash function such as SHA-256 should also be used. SHA-256 produces a 256-bit fixed hash value, which is essential for maintaining data integrity and ensuring that transmitted data has not been tampered with. AES relies on symmetric keys, where the same key is used for both encryption and decryption, and strong random number generators, such as </w:t>
      </w:r>
      <w:proofErr w:type="spellStart"/>
      <w:r w:rsidRPr="0000483F">
        <w:rPr>
          <w:rFonts w:eastAsia="Times New Roman"/>
          <w:sz w:val="22"/>
          <w:szCs w:val="22"/>
        </w:rPr>
        <w:t>SecureRandom</w:t>
      </w:r>
      <w:proofErr w:type="spellEnd"/>
      <w:r w:rsidRPr="0000483F">
        <w:rPr>
          <w:rFonts w:eastAsia="Times New Roman"/>
          <w:sz w:val="22"/>
          <w:szCs w:val="22"/>
        </w:rPr>
        <w:t xml:space="preserve"> in Java, are critical for creating secure and unpredictable encryption keys. Historically, AES replaced the older Data Encryption Standard (DES) due to vulnerabilities in DES's short key length. Since its official adoption by NIST in 2001, AES has become the global standard for secure data encryption due to its performance, flexibility, and resistance to cryptographic attacks. It remains the optimal choice for securing sensitive financial data for Artemis </w:t>
      </w:r>
      <w:proofErr w:type="spellStart"/>
      <w:r w:rsidRPr="0000483F">
        <w:rPr>
          <w:rFonts w:eastAsia="Times New Roman"/>
          <w:sz w:val="22"/>
          <w:szCs w:val="22"/>
        </w:rPr>
        <w:t>Financial’s</w:t>
      </w:r>
      <w:proofErr w:type="spellEnd"/>
      <w:r w:rsidRPr="0000483F">
        <w:rPr>
          <w:rFonts w:eastAsia="Times New Roman"/>
          <w:sz w:val="22"/>
          <w:szCs w:val="22"/>
        </w:rPr>
        <w:t xml:space="preserve"> web application.</w:t>
      </w:r>
    </w:p>
    <w:p w14:paraId="1B6039C2" w14:textId="706D640B" w:rsidR="0000483F" w:rsidRPr="0000483F" w:rsidRDefault="0000483F" w:rsidP="0000483F">
      <w:pPr>
        <w:contextualSpacing/>
        <w:rPr>
          <w:rFonts w:eastAsia="Times New Roman"/>
          <w:sz w:val="22"/>
          <w:szCs w:val="22"/>
        </w:rPr>
      </w:pPr>
      <w:r w:rsidRPr="0000483F">
        <w:rPr>
          <w:rFonts w:eastAsia="Times New Roman"/>
          <w:i/>
          <w:iCs/>
          <w:sz w:val="22"/>
          <w:szCs w:val="22"/>
        </w:rPr>
        <w:t>(Oracle, n.d.</w:t>
      </w:r>
      <w:r>
        <w:rPr>
          <w:rFonts w:eastAsia="Times New Roman"/>
          <w:i/>
          <w:iCs/>
          <w:sz w:val="22"/>
          <w:szCs w:val="22"/>
        </w:rPr>
        <w:t>;</w:t>
      </w:r>
      <w:r w:rsidRPr="0000483F">
        <w:rPr>
          <w:rFonts w:eastAsia="Times New Roman"/>
          <w:i/>
          <w:iCs/>
          <w:sz w:val="22"/>
          <w:szCs w:val="22"/>
        </w:rPr>
        <w:t xml:space="preserve"> Seacord, 2014; </w:t>
      </w:r>
      <w:proofErr w:type="spellStart"/>
      <w:r w:rsidRPr="0000483F">
        <w:rPr>
          <w:rFonts w:eastAsia="Times New Roman"/>
          <w:i/>
          <w:iCs/>
          <w:sz w:val="22"/>
          <w:szCs w:val="22"/>
        </w:rPr>
        <w:t>AquaSec</w:t>
      </w:r>
      <w:proofErr w:type="spellEnd"/>
      <w:r w:rsidRPr="0000483F">
        <w:rPr>
          <w:rFonts w:eastAsia="Times New Roman"/>
          <w:i/>
          <w:iCs/>
          <w:sz w:val="22"/>
          <w:szCs w:val="22"/>
        </w:rPr>
        <w:t>, 2023)</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383B306B" w:rsidR="00DB5652" w:rsidRPr="00B7788F" w:rsidRDefault="005A0B0F" w:rsidP="00D47759">
      <w:pPr>
        <w:contextualSpacing/>
        <w:rPr>
          <w:rFonts w:cstheme="minorHAnsi"/>
          <w:sz w:val="22"/>
          <w:szCs w:val="22"/>
        </w:rPr>
      </w:pPr>
      <w:r w:rsidRPr="005A0B0F">
        <w:rPr>
          <w:rFonts w:eastAsia="Times New Roman" w:cstheme="minorHAnsi"/>
          <w:sz w:val="22"/>
          <w:szCs w:val="22"/>
        </w:rPr>
        <w:drawing>
          <wp:inline distT="0" distB="0" distL="0" distR="0" wp14:anchorId="51BD57BB" wp14:editId="72D6B23A">
            <wp:extent cx="5943600" cy="2381885"/>
            <wp:effectExtent l="0" t="0" r="0" b="0"/>
            <wp:docPr id="75041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15678" name=""/>
                    <pic:cNvPicPr/>
                  </pic:nvPicPr>
                  <pic:blipFill>
                    <a:blip r:embed="rId13"/>
                    <a:stretch>
                      <a:fillRect/>
                    </a:stretch>
                  </pic:blipFill>
                  <pic:spPr>
                    <a:xfrm>
                      <a:off x="0" y="0"/>
                      <a:ext cx="5943600" cy="238188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4BFDD9E" w:rsidR="00C56FC2" w:rsidRDefault="007035B7" w:rsidP="00D47759">
      <w:pPr>
        <w:contextualSpacing/>
        <w:rPr>
          <w:rFonts w:eastAsia="Times New Roman" w:cstheme="minorHAnsi"/>
          <w:sz w:val="22"/>
          <w:szCs w:val="22"/>
        </w:rPr>
      </w:pPr>
      <w:r w:rsidRPr="007035B7">
        <w:rPr>
          <w:rFonts w:eastAsia="Times New Roman" w:cstheme="minorHAnsi"/>
          <w:sz w:val="22"/>
          <w:szCs w:val="22"/>
        </w:rPr>
        <w:drawing>
          <wp:inline distT="0" distB="0" distL="0" distR="0" wp14:anchorId="3FA5BD81" wp14:editId="616332DE">
            <wp:extent cx="5943600" cy="909955"/>
            <wp:effectExtent l="0" t="0" r="0" b="4445"/>
            <wp:docPr id="14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60" name=""/>
                    <pic:cNvPicPr/>
                  </pic:nvPicPr>
                  <pic:blipFill>
                    <a:blip r:embed="rId14"/>
                    <a:stretch>
                      <a:fillRect/>
                    </a:stretch>
                  </pic:blipFill>
                  <pic:spPr>
                    <a:xfrm>
                      <a:off x="0" y="0"/>
                      <a:ext cx="5943600" cy="9099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881DD50" w:rsidR="00DB5652" w:rsidRPr="00B7788F" w:rsidRDefault="007035B7" w:rsidP="00D47759">
      <w:pPr>
        <w:contextualSpacing/>
        <w:rPr>
          <w:rFonts w:cstheme="minorHAnsi"/>
          <w:sz w:val="22"/>
          <w:szCs w:val="22"/>
        </w:rPr>
      </w:pPr>
      <w:r w:rsidRPr="007035B7">
        <w:rPr>
          <w:rFonts w:eastAsia="Times New Roman" w:cstheme="minorHAnsi"/>
          <w:sz w:val="22"/>
          <w:szCs w:val="22"/>
        </w:rPr>
        <w:lastRenderedPageBreak/>
        <w:drawing>
          <wp:inline distT="0" distB="0" distL="0" distR="0" wp14:anchorId="73B45C01" wp14:editId="4105C1EF">
            <wp:extent cx="5943600" cy="909955"/>
            <wp:effectExtent l="0" t="0" r="0" b="4445"/>
            <wp:docPr id="211988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82281" name=""/>
                    <pic:cNvPicPr/>
                  </pic:nvPicPr>
                  <pic:blipFill>
                    <a:blip r:embed="rId14"/>
                    <a:stretch>
                      <a:fillRect/>
                    </a:stretch>
                  </pic:blipFill>
                  <pic:spPr>
                    <a:xfrm>
                      <a:off x="0" y="0"/>
                      <a:ext cx="5943600" cy="909955"/>
                    </a:xfrm>
                    <a:prstGeom prst="rect">
                      <a:avLst/>
                    </a:prstGeom>
                  </pic:spPr>
                </pic:pic>
              </a:graphicData>
            </a:graphic>
          </wp:inline>
        </w:drawing>
      </w:r>
      <w:r w:rsidR="002D28ED" w:rsidRPr="002D28ED">
        <w:rPr>
          <w:rFonts w:cstheme="minorHAnsi"/>
          <w:sz w:val="22"/>
          <w:szCs w:val="22"/>
        </w:rPr>
        <w:drawing>
          <wp:inline distT="0" distB="0" distL="0" distR="0" wp14:anchorId="59143E3F" wp14:editId="78A4DE36">
            <wp:extent cx="3753374" cy="4772691"/>
            <wp:effectExtent l="0" t="0" r="0" b="8890"/>
            <wp:docPr id="169699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5384" name=""/>
                    <pic:cNvPicPr/>
                  </pic:nvPicPr>
                  <pic:blipFill>
                    <a:blip r:embed="rId15"/>
                    <a:stretch>
                      <a:fillRect/>
                    </a:stretch>
                  </pic:blipFill>
                  <pic:spPr>
                    <a:xfrm>
                      <a:off x="0" y="0"/>
                      <a:ext cx="3753374" cy="4772691"/>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17E3F56" w:rsidR="00DB5652" w:rsidRDefault="00952BB2" w:rsidP="00D47759">
      <w:pPr>
        <w:contextualSpacing/>
        <w:rPr>
          <w:rFonts w:cstheme="minorHAnsi"/>
          <w:sz w:val="22"/>
          <w:szCs w:val="22"/>
        </w:rPr>
      </w:pPr>
      <w:r w:rsidRPr="00952BB2">
        <w:rPr>
          <w:rFonts w:eastAsia="Times New Roman" w:cstheme="minorHAnsi"/>
          <w:sz w:val="22"/>
          <w:szCs w:val="22"/>
        </w:rPr>
        <w:lastRenderedPageBreak/>
        <w:drawing>
          <wp:inline distT="0" distB="0" distL="0" distR="0" wp14:anchorId="735097E9" wp14:editId="15DDD1BE">
            <wp:extent cx="5943600" cy="3429635"/>
            <wp:effectExtent l="0" t="0" r="0" b="0"/>
            <wp:docPr id="68580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00985" name=""/>
                    <pic:cNvPicPr/>
                  </pic:nvPicPr>
                  <pic:blipFill>
                    <a:blip r:embed="rId16"/>
                    <a:stretch>
                      <a:fillRect/>
                    </a:stretch>
                  </pic:blipFill>
                  <pic:spPr>
                    <a:xfrm>
                      <a:off x="0" y="0"/>
                      <a:ext cx="5943600" cy="3429635"/>
                    </a:xfrm>
                    <a:prstGeom prst="rect">
                      <a:avLst/>
                    </a:prstGeom>
                  </pic:spPr>
                </pic:pic>
              </a:graphicData>
            </a:graphic>
          </wp:inline>
        </w:drawing>
      </w:r>
    </w:p>
    <w:p w14:paraId="61AFD7A4" w14:textId="15372BBE" w:rsidR="00952BB2" w:rsidRPr="00B7788F" w:rsidRDefault="00952BB2" w:rsidP="00D47759">
      <w:pPr>
        <w:contextualSpacing/>
        <w:rPr>
          <w:rFonts w:cstheme="minorHAnsi"/>
          <w:sz w:val="22"/>
          <w:szCs w:val="22"/>
        </w:rPr>
      </w:pPr>
      <w:r w:rsidRPr="00952BB2">
        <w:rPr>
          <w:rFonts w:cstheme="minorHAnsi"/>
          <w:sz w:val="22"/>
          <w:szCs w:val="22"/>
        </w:rPr>
        <w:lastRenderedPageBreak/>
        <w:drawing>
          <wp:inline distT="0" distB="0" distL="0" distR="0" wp14:anchorId="0095C61C" wp14:editId="7CF10774">
            <wp:extent cx="5943600" cy="5662295"/>
            <wp:effectExtent l="0" t="0" r="0" b="0"/>
            <wp:docPr id="3821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3316" name=""/>
                    <pic:cNvPicPr/>
                  </pic:nvPicPr>
                  <pic:blipFill>
                    <a:blip r:embed="rId17"/>
                    <a:stretch>
                      <a:fillRect/>
                    </a:stretch>
                  </pic:blipFill>
                  <pic:spPr>
                    <a:xfrm>
                      <a:off x="0" y="0"/>
                      <a:ext cx="5943600" cy="566229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F7E79FD" w:rsidR="00E33862" w:rsidRPr="00B7788F" w:rsidRDefault="00952BB2" w:rsidP="00D47759">
      <w:pPr>
        <w:contextualSpacing/>
        <w:rPr>
          <w:rFonts w:cstheme="minorHAnsi"/>
          <w:sz w:val="22"/>
          <w:szCs w:val="22"/>
        </w:rPr>
      </w:pPr>
      <w:r w:rsidRPr="00952BB2">
        <w:rPr>
          <w:rFonts w:eastAsia="Times New Roman" w:cstheme="minorHAnsi"/>
          <w:sz w:val="22"/>
          <w:szCs w:val="22"/>
        </w:rPr>
        <w:lastRenderedPageBreak/>
        <w:drawing>
          <wp:inline distT="0" distB="0" distL="0" distR="0" wp14:anchorId="221A9D7A" wp14:editId="5F2546B3">
            <wp:extent cx="5943600" cy="5045075"/>
            <wp:effectExtent l="0" t="0" r="0" b="3175"/>
            <wp:docPr id="71658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5790" name=""/>
                    <pic:cNvPicPr/>
                  </pic:nvPicPr>
                  <pic:blipFill>
                    <a:blip r:embed="rId18"/>
                    <a:stretch>
                      <a:fillRect/>
                    </a:stretch>
                  </pic:blipFill>
                  <pic:spPr>
                    <a:xfrm>
                      <a:off x="0" y="0"/>
                      <a:ext cx="5943600" cy="5045075"/>
                    </a:xfrm>
                    <a:prstGeom prst="rect">
                      <a:avLst/>
                    </a:prstGeom>
                  </pic:spPr>
                </pic:pic>
              </a:graphicData>
            </a:graphic>
          </wp:inline>
        </w:drawing>
      </w:r>
    </w:p>
    <w:p w14:paraId="09582ED5" w14:textId="08A5A837" w:rsidR="00E4044A" w:rsidRPr="0000483F"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12829010" w:rsidR="006E3003" w:rsidRDefault="0000483F" w:rsidP="00D47759">
      <w:pPr>
        <w:contextualSpacing/>
        <w:rPr>
          <w:rFonts w:eastAsia="Times New Roman"/>
          <w:sz w:val="22"/>
          <w:szCs w:val="22"/>
        </w:rPr>
      </w:pPr>
      <w:r w:rsidRPr="0000483F">
        <w:rPr>
          <w:rFonts w:eastAsia="Times New Roman"/>
          <w:sz w:val="22"/>
          <w:szCs w:val="22"/>
        </w:rPr>
        <w:t xml:space="preserve">The Artemis Financial application was successfully refactored to incorporate multiple layers of security, aligning with software security testing protocols and modern best practices. The changes focused on encryption, secure </w:t>
      </w:r>
      <w:r w:rsidRPr="0000483F">
        <w:rPr>
          <w:rFonts w:eastAsia="Times New Roman"/>
          <w:sz w:val="22"/>
          <w:szCs w:val="22"/>
        </w:rPr>
        <w:t>communication</w:t>
      </w:r>
      <w:r w:rsidRPr="0000483F">
        <w:rPr>
          <w:rFonts w:eastAsia="Times New Roman"/>
          <w:sz w:val="22"/>
          <w:szCs w:val="22"/>
        </w:rPr>
        <w:t xml:space="preserve">, and vulnerability mitigation. To start, an AES encryption algorithm and SHA-256 hash function were implemented to protect data at rest and during transfer. This addition supports a checksum verification process that ensures data integrity when transferring files across the network. Certificate generation was completed using the Java </w:t>
      </w:r>
      <w:proofErr w:type="spellStart"/>
      <w:r w:rsidRPr="0000483F">
        <w:rPr>
          <w:rFonts w:eastAsia="Times New Roman"/>
          <w:sz w:val="22"/>
          <w:szCs w:val="22"/>
        </w:rPr>
        <w:t>Keytool</w:t>
      </w:r>
      <w:proofErr w:type="spellEnd"/>
      <w:r w:rsidRPr="0000483F">
        <w:rPr>
          <w:rFonts w:eastAsia="Times New Roman"/>
          <w:sz w:val="22"/>
          <w:szCs w:val="22"/>
        </w:rPr>
        <w:t xml:space="preserve">, and a self-signed certificate was used to enable HTTPS, replacing insecure HTTP communications. This secured the transmission layer of the web application by allowing encrypted communication through port 8443. After implementing these changes, static testing was conducted using the OWASP Dependency-Check tool. The output confirmed that no new vulnerabilities had been introduced in the refactored code. Functional testing also verified that the application ran without syntactical or runtime errors. According to the vulnerability assessment process, the areas addressed included cryptographic protection, secure transport protocols, and </w:t>
      </w:r>
      <w:r w:rsidRPr="0000483F">
        <w:rPr>
          <w:rFonts w:eastAsia="Times New Roman"/>
          <w:sz w:val="22"/>
          <w:szCs w:val="22"/>
        </w:rPr>
        <w:t>risk dependency</w:t>
      </w:r>
      <w:r w:rsidRPr="0000483F">
        <w:rPr>
          <w:rFonts w:eastAsia="Times New Roman"/>
          <w:sz w:val="22"/>
          <w:szCs w:val="22"/>
        </w:rPr>
        <w:t xml:space="preserve"> management. This comprehensive refactoring process increased the overall security posture of the application, ensuring that Artemis </w:t>
      </w:r>
      <w:proofErr w:type="spellStart"/>
      <w:r w:rsidRPr="0000483F">
        <w:rPr>
          <w:rFonts w:eastAsia="Times New Roman"/>
          <w:sz w:val="22"/>
          <w:szCs w:val="22"/>
        </w:rPr>
        <w:t>Financial’s</w:t>
      </w:r>
      <w:proofErr w:type="spellEnd"/>
      <w:r w:rsidRPr="0000483F">
        <w:rPr>
          <w:rFonts w:eastAsia="Times New Roman"/>
          <w:sz w:val="22"/>
          <w:szCs w:val="22"/>
        </w:rPr>
        <w:t xml:space="preserve"> client data remains protected from common software threats.</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6D0E62F" w14:textId="77777777" w:rsidR="0000483F" w:rsidRPr="0000483F" w:rsidRDefault="0000483F" w:rsidP="0000483F">
      <w:pPr>
        <w:contextualSpacing/>
        <w:rPr>
          <w:rFonts w:eastAsia="Times New Roman"/>
          <w:sz w:val="22"/>
          <w:szCs w:val="22"/>
        </w:rPr>
      </w:pPr>
      <w:r w:rsidRPr="0000483F">
        <w:rPr>
          <w:rFonts w:eastAsia="Times New Roman"/>
          <w:sz w:val="22"/>
          <w:szCs w:val="22"/>
        </w:rPr>
        <w:lastRenderedPageBreak/>
        <w:t xml:space="preserve">Industry standard best practices were applied throughout the development and refactoring process to minimize software vulnerabilities and strengthen security. Secure coding principles were used to maintain encryption standards, such as using AES for symmetric encryption and SHA-256 for checksum validation. These algorithms follow current recommendations from the National Institute of Standards and Technology (NIST). Additionally, secure communication protocols were implemented by enabling HTTPS using self-signed certificates through Java </w:t>
      </w:r>
      <w:proofErr w:type="spellStart"/>
      <w:r w:rsidRPr="0000483F">
        <w:rPr>
          <w:rFonts w:eastAsia="Times New Roman"/>
          <w:sz w:val="22"/>
          <w:szCs w:val="22"/>
        </w:rPr>
        <w:t>Keytool</w:t>
      </w:r>
      <w:proofErr w:type="spellEnd"/>
      <w:r w:rsidRPr="0000483F">
        <w:rPr>
          <w:rFonts w:eastAsia="Times New Roman"/>
          <w:sz w:val="22"/>
          <w:szCs w:val="22"/>
        </w:rPr>
        <w:t xml:space="preserve">. This upgrade ensures encrypted client-server communication, preventing man-in-the-middle attacks and eavesdropping. The code was validated using OWASP Dependency-Check, an industry-recognized static testing tool, to detect vulnerable dependencies and ensure codebase integrity. These actions demonstrate a proactive approach to maintaining security. Applying such practices helps preserve trust with Artemis </w:t>
      </w:r>
      <w:proofErr w:type="spellStart"/>
      <w:r w:rsidRPr="0000483F">
        <w:rPr>
          <w:rFonts w:eastAsia="Times New Roman"/>
          <w:sz w:val="22"/>
          <w:szCs w:val="22"/>
        </w:rPr>
        <w:t>Financial’s</w:t>
      </w:r>
      <w:proofErr w:type="spellEnd"/>
      <w:r w:rsidRPr="0000483F">
        <w:rPr>
          <w:rFonts w:eastAsia="Times New Roman"/>
          <w:sz w:val="22"/>
          <w:szCs w:val="22"/>
        </w:rPr>
        <w:t xml:space="preserve"> clients and stakeholders by protecting their sensitive financial data. Moreover, by adhering to these standards, the company reduces the risk of security breaches, avoids compliance violations, and strengthens its software development lifecycle overall.</w:t>
      </w:r>
    </w:p>
    <w:p w14:paraId="471B9A07" w14:textId="69724201" w:rsidR="0000483F" w:rsidRPr="0000483F" w:rsidRDefault="0000483F" w:rsidP="0000483F">
      <w:pPr>
        <w:contextualSpacing/>
        <w:rPr>
          <w:rFonts w:eastAsia="Times New Roman"/>
          <w:sz w:val="22"/>
          <w:szCs w:val="22"/>
        </w:rPr>
      </w:pPr>
      <w:r w:rsidRPr="0000483F">
        <w:rPr>
          <w:rFonts w:eastAsia="Times New Roman"/>
          <w:i/>
          <w:iCs/>
          <w:sz w:val="22"/>
          <w:szCs w:val="22"/>
        </w:rPr>
        <w:t>(Oracle, n.d.</w:t>
      </w:r>
      <w:r>
        <w:rPr>
          <w:rFonts w:eastAsia="Times New Roman"/>
          <w:i/>
          <w:iCs/>
          <w:sz w:val="22"/>
          <w:szCs w:val="22"/>
        </w:rPr>
        <w:t>,</w:t>
      </w:r>
      <w:r w:rsidRPr="0000483F">
        <w:rPr>
          <w:rFonts w:eastAsia="Times New Roman"/>
          <w:i/>
          <w:iCs/>
          <w:sz w:val="22"/>
          <w:szCs w:val="22"/>
        </w:rPr>
        <w:t xml:space="preserve"> Seacord, 2014</w:t>
      </w:r>
      <w:r>
        <w:rPr>
          <w:rFonts w:eastAsia="Times New Roman"/>
          <w:i/>
          <w:iCs/>
          <w:sz w:val="22"/>
          <w:szCs w:val="22"/>
        </w:rPr>
        <w:t>,</w:t>
      </w:r>
      <w:r w:rsidRPr="0000483F">
        <w:rPr>
          <w:rFonts w:eastAsia="Times New Roman"/>
          <w:i/>
          <w:iCs/>
          <w:sz w:val="22"/>
          <w:szCs w:val="22"/>
        </w:rPr>
        <w:t xml:space="preserve"> </w:t>
      </w:r>
      <w:proofErr w:type="spellStart"/>
      <w:r w:rsidRPr="0000483F">
        <w:rPr>
          <w:rFonts w:eastAsia="Times New Roman"/>
          <w:i/>
          <w:iCs/>
          <w:sz w:val="22"/>
          <w:szCs w:val="22"/>
        </w:rPr>
        <w:t>AquaSec</w:t>
      </w:r>
      <w:proofErr w:type="spellEnd"/>
      <w:r w:rsidRPr="0000483F">
        <w:rPr>
          <w:rFonts w:eastAsia="Times New Roman"/>
          <w:i/>
          <w:iCs/>
          <w:sz w:val="22"/>
          <w:szCs w:val="22"/>
        </w:rPr>
        <w:t>, 2023)</w:t>
      </w:r>
    </w:p>
    <w:p w14:paraId="052C684F" w14:textId="7BD6B454" w:rsidR="00974AE3" w:rsidRDefault="00974AE3" w:rsidP="0000483F">
      <w:pPr>
        <w:contextualSpacing/>
        <w:rPr>
          <w:rFonts w:eastAsia="Times New Roman"/>
          <w:sz w:val="22"/>
          <w:szCs w:val="22"/>
        </w:rPr>
      </w:pPr>
    </w:p>
    <w:p w14:paraId="38752B00" w14:textId="29731F15" w:rsidR="0000483F" w:rsidRDefault="0000483F" w:rsidP="0000483F">
      <w:pPr>
        <w:contextualSpacing/>
        <w:jc w:val="center"/>
        <w:rPr>
          <w:rFonts w:eastAsia="Times New Roman"/>
          <w:sz w:val="22"/>
          <w:szCs w:val="22"/>
        </w:rPr>
      </w:pPr>
      <w:r>
        <w:rPr>
          <w:rFonts w:eastAsia="Times New Roman"/>
          <w:sz w:val="22"/>
          <w:szCs w:val="22"/>
        </w:rPr>
        <w:t>References</w:t>
      </w:r>
    </w:p>
    <w:p w14:paraId="5690753B" w14:textId="77777777" w:rsidR="0000483F" w:rsidRPr="0000483F" w:rsidRDefault="0000483F" w:rsidP="0000483F">
      <w:pPr>
        <w:ind w:left="720" w:hanging="720"/>
        <w:contextualSpacing/>
        <w:rPr>
          <w:rFonts w:eastAsia="Times New Roman"/>
          <w:sz w:val="22"/>
          <w:szCs w:val="22"/>
          <w:lang w:val="es-MX"/>
        </w:rPr>
      </w:pPr>
      <w:r w:rsidRPr="0000483F">
        <w:rPr>
          <w:rFonts w:eastAsia="Times New Roman"/>
          <w:sz w:val="22"/>
          <w:szCs w:val="22"/>
        </w:rPr>
        <w:t xml:space="preserve">Aqua Security. (2023). </w:t>
      </w:r>
      <w:r w:rsidRPr="0000483F">
        <w:rPr>
          <w:rFonts w:eastAsia="Times New Roman"/>
          <w:i/>
          <w:iCs/>
          <w:sz w:val="22"/>
          <w:szCs w:val="22"/>
        </w:rPr>
        <w:t>OWASP dependency-check: Detect publicly disclosed vulnerabilities in dependencies</w:t>
      </w:r>
      <w:r w:rsidRPr="0000483F">
        <w:rPr>
          <w:rFonts w:eastAsia="Times New Roman"/>
          <w:sz w:val="22"/>
          <w:szCs w:val="22"/>
        </w:rPr>
        <w:t xml:space="preserve">. </w:t>
      </w:r>
      <w:proofErr w:type="spellStart"/>
      <w:r w:rsidRPr="0000483F">
        <w:rPr>
          <w:rFonts w:eastAsia="Times New Roman"/>
          <w:sz w:val="22"/>
          <w:szCs w:val="22"/>
          <w:lang w:val="es-MX"/>
        </w:rPr>
        <w:t>AquaSec</w:t>
      </w:r>
      <w:proofErr w:type="spellEnd"/>
      <w:r w:rsidRPr="0000483F">
        <w:rPr>
          <w:rFonts w:eastAsia="Times New Roman"/>
          <w:sz w:val="22"/>
          <w:szCs w:val="22"/>
          <w:lang w:val="es-MX"/>
        </w:rPr>
        <w:t xml:space="preserve">. </w:t>
      </w:r>
      <w:hyperlink r:id="rId19" w:tgtFrame="_new" w:history="1">
        <w:r w:rsidRPr="0000483F">
          <w:rPr>
            <w:rStyle w:val="Hyperlink"/>
            <w:rFonts w:eastAsia="Times New Roman"/>
            <w:sz w:val="22"/>
            <w:szCs w:val="22"/>
            <w:lang w:val="es-MX"/>
          </w:rPr>
          <w:t>https://www.aquasec.com/cloud-native-academy/supply-chain-security/owasp-dependency-check/</w:t>
        </w:r>
      </w:hyperlink>
    </w:p>
    <w:p w14:paraId="7EEE3AE3" w14:textId="77777777" w:rsidR="0000483F" w:rsidRPr="0000483F" w:rsidRDefault="0000483F" w:rsidP="0000483F">
      <w:pPr>
        <w:ind w:left="720" w:hanging="720"/>
        <w:contextualSpacing/>
        <w:rPr>
          <w:rFonts w:eastAsia="Times New Roman"/>
          <w:sz w:val="22"/>
          <w:szCs w:val="22"/>
          <w:lang w:val="es-MX"/>
        </w:rPr>
      </w:pPr>
      <w:r w:rsidRPr="0000483F">
        <w:rPr>
          <w:rFonts w:eastAsia="Times New Roman"/>
          <w:sz w:val="22"/>
          <w:szCs w:val="22"/>
        </w:rPr>
        <w:t xml:space="preserve">Oracle. (n.d.). </w:t>
      </w:r>
      <w:proofErr w:type="spellStart"/>
      <w:r w:rsidRPr="0000483F">
        <w:rPr>
          <w:rFonts w:eastAsia="Times New Roman"/>
          <w:i/>
          <w:iCs/>
          <w:sz w:val="22"/>
          <w:szCs w:val="22"/>
        </w:rPr>
        <w:t>keytool</w:t>
      </w:r>
      <w:proofErr w:type="spellEnd"/>
      <w:r w:rsidRPr="0000483F">
        <w:rPr>
          <w:rFonts w:eastAsia="Times New Roman"/>
          <w:i/>
          <w:iCs/>
          <w:sz w:val="22"/>
          <w:szCs w:val="22"/>
        </w:rPr>
        <w:t xml:space="preserve"> - Key and certificate management tool</w:t>
      </w:r>
      <w:r w:rsidRPr="0000483F">
        <w:rPr>
          <w:rFonts w:eastAsia="Times New Roman"/>
          <w:sz w:val="22"/>
          <w:szCs w:val="22"/>
        </w:rPr>
        <w:t xml:space="preserve">. </w:t>
      </w:r>
      <w:r w:rsidRPr="0000483F">
        <w:rPr>
          <w:rFonts w:eastAsia="Times New Roman"/>
          <w:sz w:val="22"/>
          <w:szCs w:val="22"/>
          <w:lang w:val="es-MX"/>
        </w:rPr>
        <w:t xml:space="preserve">Oracle Java </w:t>
      </w:r>
      <w:proofErr w:type="spellStart"/>
      <w:r w:rsidRPr="0000483F">
        <w:rPr>
          <w:rFonts w:eastAsia="Times New Roman"/>
          <w:sz w:val="22"/>
          <w:szCs w:val="22"/>
          <w:lang w:val="es-MX"/>
        </w:rPr>
        <w:t>Documentation</w:t>
      </w:r>
      <w:proofErr w:type="spellEnd"/>
      <w:r w:rsidRPr="0000483F">
        <w:rPr>
          <w:rFonts w:eastAsia="Times New Roman"/>
          <w:sz w:val="22"/>
          <w:szCs w:val="22"/>
          <w:lang w:val="es-MX"/>
        </w:rPr>
        <w:t xml:space="preserve">. </w:t>
      </w:r>
      <w:hyperlink r:id="rId20" w:tgtFrame="_new" w:history="1">
        <w:r w:rsidRPr="0000483F">
          <w:rPr>
            <w:rStyle w:val="Hyperlink"/>
            <w:rFonts w:eastAsia="Times New Roman"/>
            <w:sz w:val="22"/>
            <w:szCs w:val="22"/>
            <w:lang w:val="es-MX"/>
          </w:rPr>
          <w:t>https://docs.oracle.com/javase/6/docs/technotes/tools/windows/keytool.html</w:t>
        </w:r>
      </w:hyperlink>
    </w:p>
    <w:p w14:paraId="14560A3B" w14:textId="77777777" w:rsidR="0000483F" w:rsidRPr="0000483F" w:rsidRDefault="0000483F" w:rsidP="0000483F">
      <w:pPr>
        <w:ind w:left="720" w:hanging="720"/>
        <w:contextualSpacing/>
        <w:rPr>
          <w:rFonts w:eastAsia="Times New Roman"/>
          <w:sz w:val="22"/>
          <w:szCs w:val="22"/>
        </w:rPr>
      </w:pPr>
      <w:r w:rsidRPr="0000483F">
        <w:rPr>
          <w:rFonts w:eastAsia="Times New Roman"/>
          <w:sz w:val="22"/>
          <w:szCs w:val="22"/>
        </w:rPr>
        <w:t xml:space="preserve">Seacord, R. C. (2014). </w:t>
      </w:r>
      <w:r w:rsidRPr="0000483F">
        <w:rPr>
          <w:rFonts w:eastAsia="Times New Roman"/>
          <w:i/>
          <w:iCs/>
          <w:sz w:val="22"/>
          <w:szCs w:val="22"/>
        </w:rPr>
        <w:t>Iron-Clad Java: Building secure web applications</w:t>
      </w:r>
      <w:r w:rsidRPr="0000483F">
        <w:rPr>
          <w:rFonts w:eastAsia="Times New Roman"/>
          <w:sz w:val="22"/>
          <w:szCs w:val="22"/>
        </w:rPr>
        <w:t xml:space="preserve">. McGraw-Hill Education. </w:t>
      </w:r>
      <w:hyperlink r:id="rId21" w:tgtFrame="_new" w:history="1">
        <w:r w:rsidRPr="0000483F">
          <w:rPr>
            <w:rStyle w:val="Hyperlink"/>
            <w:rFonts w:eastAsia="Times New Roman"/>
            <w:sz w:val="22"/>
            <w:szCs w:val="22"/>
          </w:rPr>
          <w:t>https://learning.oreilly.com/library/view/iron-clad-java/9780071835886/?sso_link=yes&amp;sso_link_from=SNHU</w:t>
        </w:r>
      </w:hyperlink>
    </w:p>
    <w:p w14:paraId="771AC946" w14:textId="77777777" w:rsidR="0000483F" w:rsidRPr="00B7788F" w:rsidRDefault="0000483F" w:rsidP="0000483F">
      <w:pPr>
        <w:ind w:left="720" w:hanging="720"/>
        <w:contextualSpacing/>
        <w:rPr>
          <w:rFonts w:eastAsia="Times New Roman"/>
          <w:sz w:val="22"/>
          <w:szCs w:val="22"/>
        </w:rPr>
      </w:pPr>
    </w:p>
    <w:sectPr w:rsidR="0000483F"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FACB9" w14:textId="77777777" w:rsidR="00516466" w:rsidRDefault="00516466" w:rsidP="002F3F84">
      <w:r>
        <w:separator/>
      </w:r>
    </w:p>
  </w:endnote>
  <w:endnote w:type="continuationSeparator" w:id="0">
    <w:p w14:paraId="6C8AB6BC" w14:textId="77777777" w:rsidR="00516466" w:rsidRDefault="00516466" w:rsidP="002F3F84">
      <w:r>
        <w:continuationSeparator/>
      </w:r>
    </w:p>
  </w:endnote>
  <w:endnote w:type="continuationNotice" w:id="1">
    <w:p w14:paraId="004020A0" w14:textId="77777777" w:rsidR="00516466" w:rsidRDefault="00516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367D" w14:textId="77777777" w:rsidR="00516466" w:rsidRDefault="00516466" w:rsidP="002F3F84">
      <w:r>
        <w:separator/>
      </w:r>
    </w:p>
  </w:footnote>
  <w:footnote w:type="continuationSeparator" w:id="0">
    <w:p w14:paraId="372B9A03" w14:textId="77777777" w:rsidR="00516466" w:rsidRDefault="00516466" w:rsidP="002F3F84">
      <w:r>
        <w:continuationSeparator/>
      </w:r>
    </w:p>
  </w:footnote>
  <w:footnote w:type="continuationNotice" w:id="1">
    <w:p w14:paraId="4FB3E836" w14:textId="77777777" w:rsidR="00516466" w:rsidRDefault="00516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63008204">
    <w:abstractNumId w:val="16"/>
  </w:num>
  <w:num w:numId="2" w16cid:durableId="1443525936">
    <w:abstractNumId w:val="20"/>
  </w:num>
  <w:num w:numId="3" w16cid:durableId="310066429">
    <w:abstractNumId w:val="6"/>
  </w:num>
  <w:num w:numId="4" w16cid:durableId="1434059406">
    <w:abstractNumId w:val="8"/>
  </w:num>
  <w:num w:numId="5" w16cid:durableId="1693653057">
    <w:abstractNumId w:val="4"/>
  </w:num>
  <w:num w:numId="6" w16cid:durableId="396562136">
    <w:abstractNumId w:val="17"/>
  </w:num>
  <w:num w:numId="7" w16cid:durableId="1920745171">
    <w:abstractNumId w:val="12"/>
    <w:lvlOverride w:ilvl="0">
      <w:lvl w:ilvl="0">
        <w:numFmt w:val="lowerLetter"/>
        <w:lvlText w:val="%1."/>
        <w:lvlJc w:val="left"/>
      </w:lvl>
    </w:lvlOverride>
  </w:num>
  <w:num w:numId="8" w16cid:durableId="1055661322">
    <w:abstractNumId w:val="5"/>
  </w:num>
  <w:num w:numId="9" w16cid:durableId="1415274189">
    <w:abstractNumId w:val="1"/>
    <w:lvlOverride w:ilvl="0">
      <w:lvl w:ilvl="0">
        <w:numFmt w:val="lowerLetter"/>
        <w:lvlText w:val="%1."/>
        <w:lvlJc w:val="left"/>
      </w:lvl>
    </w:lvlOverride>
  </w:num>
  <w:num w:numId="10" w16cid:durableId="1230267451">
    <w:abstractNumId w:val="0"/>
  </w:num>
  <w:num w:numId="11" w16cid:durableId="1752119276">
    <w:abstractNumId w:val="3"/>
  </w:num>
  <w:num w:numId="12" w16cid:durableId="47917087">
    <w:abstractNumId w:val="19"/>
  </w:num>
  <w:num w:numId="13" w16cid:durableId="1748304224">
    <w:abstractNumId w:val="15"/>
  </w:num>
  <w:num w:numId="14" w16cid:durableId="50009878">
    <w:abstractNumId w:val="2"/>
  </w:num>
  <w:num w:numId="15" w16cid:durableId="882055599">
    <w:abstractNumId w:val="11"/>
  </w:num>
  <w:num w:numId="16" w16cid:durableId="151650755">
    <w:abstractNumId w:val="9"/>
  </w:num>
  <w:num w:numId="17" w16cid:durableId="1165315645">
    <w:abstractNumId w:val="14"/>
  </w:num>
  <w:num w:numId="18" w16cid:durableId="1815489807">
    <w:abstractNumId w:val="18"/>
  </w:num>
  <w:num w:numId="19" w16cid:durableId="1148784415">
    <w:abstractNumId w:val="7"/>
  </w:num>
  <w:num w:numId="20" w16cid:durableId="189144239">
    <w:abstractNumId w:val="13"/>
  </w:num>
  <w:num w:numId="21" w16cid:durableId="1863978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83F"/>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D28ED"/>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16466"/>
    <w:rsid w:val="00523478"/>
    <w:rsid w:val="00531FBF"/>
    <w:rsid w:val="0058064D"/>
    <w:rsid w:val="00583A02"/>
    <w:rsid w:val="005A0B0F"/>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035B7"/>
    <w:rsid w:val="0071273D"/>
    <w:rsid w:val="0076659B"/>
    <w:rsid w:val="00790486"/>
    <w:rsid w:val="00793EE5"/>
    <w:rsid w:val="00797EC8"/>
    <w:rsid w:val="00816AE9"/>
    <w:rsid w:val="00824ABB"/>
    <w:rsid w:val="00826665"/>
    <w:rsid w:val="00844A5D"/>
    <w:rsid w:val="00861EC1"/>
    <w:rsid w:val="008A7514"/>
    <w:rsid w:val="008B068E"/>
    <w:rsid w:val="00940B1A"/>
    <w:rsid w:val="00952BB2"/>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00E3"/>
    <w:rsid w:val="00F432FF"/>
    <w:rsid w:val="00F72352"/>
    <w:rsid w:val="00F80B55"/>
    <w:rsid w:val="00F81BBB"/>
    <w:rsid w:val="00F8204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04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9865">
      <w:bodyDiv w:val="1"/>
      <w:marLeft w:val="0"/>
      <w:marRight w:val="0"/>
      <w:marTop w:val="0"/>
      <w:marBottom w:val="0"/>
      <w:divBdr>
        <w:top w:val="none" w:sz="0" w:space="0" w:color="auto"/>
        <w:left w:val="none" w:sz="0" w:space="0" w:color="auto"/>
        <w:bottom w:val="none" w:sz="0" w:space="0" w:color="auto"/>
        <w:right w:val="none" w:sz="0" w:space="0" w:color="auto"/>
      </w:divBdr>
    </w:div>
    <w:div w:id="177081317">
      <w:bodyDiv w:val="1"/>
      <w:marLeft w:val="0"/>
      <w:marRight w:val="0"/>
      <w:marTop w:val="0"/>
      <w:marBottom w:val="0"/>
      <w:divBdr>
        <w:top w:val="none" w:sz="0" w:space="0" w:color="auto"/>
        <w:left w:val="none" w:sz="0" w:space="0" w:color="auto"/>
        <w:bottom w:val="none" w:sz="0" w:space="0" w:color="auto"/>
        <w:right w:val="none" w:sz="0" w:space="0" w:color="auto"/>
      </w:divBdr>
    </w:div>
    <w:div w:id="37613033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875181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621366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2337362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arning.oreilly.com/library/view/iron-clad-java/9780071835886/?sso_link=yes&amp;sso_link_from=SNHU"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oracle.com/javase/6/docs/technotes/tools/windows/keytoo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quasec.com/cloud-native-academy/supply-chain-security/owasp-dependency-che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988</Words>
  <Characters>6527</Characters>
  <Application>Microsoft Office Word</Application>
  <DocSecurity>0</DocSecurity>
  <Lines>181</Lines>
  <Paragraphs>75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Moreno, Jose A</cp:lastModifiedBy>
  <cp:revision>2</cp:revision>
  <dcterms:created xsi:type="dcterms:W3CDTF">2025-04-21T05:52:00Z</dcterms:created>
  <dcterms:modified xsi:type="dcterms:W3CDTF">2025-04-21T05:52:00Z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dcebfb3e5b8ad95aeafcea05d2e180083017d12a9668b44e228985f9ce853815</vt:lpwstr>
  </property>
</Properties>
</file>