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3CC75" w14:textId="77777777" w:rsidR="008423D8" w:rsidRDefault="00C65A5C">
      <w:pPr>
        <w:pStyle w:val="Ttulo"/>
      </w:pPr>
      <w:r>
        <w:t>Documentación del Dashboard - Proyecto 5 (Bonos Familiares BFH)</w:t>
      </w:r>
    </w:p>
    <w:p w14:paraId="3CC7829D" w14:textId="77777777" w:rsidR="008423D8" w:rsidRDefault="00C65A5C">
      <w:pPr>
        <w:pStyle w:val="Ttulo1"/>
      </w:pPr>
      <w:r>
        <w:t>1. Introducción</w:t>
      </w:r>
    </w:p>
    <w:p w14:paraId="4CEAA045" w14:textId="77777777" w:rsidR="008423D8" w:rsidRDefault="00C65A5C">
      <w:r>
        <w:t xml:space="preserve">Este documento presenta la documentación del Proyecto 5, desarrollado en Power BI con base en el dataset de Bonos Familiares Habitacionales (BFH). El objetivo del </w:t>
      </w:r>
      <w:r>
        <w:t>dashboard es mostrar indicadores clave de desempeño (KPIs) que permitan analizar la distribución, modalidades y evolución de los bonos otorgados durante los años 2024 y 2025.</w:t>
      </w:r>
    </w:p>
    <w:p w14:paraId="60134BBC" w14:textId="77777777" w:rsidR="008423D8" w:rsidRDefault="00C65A5C">
      <w:pPr>
        <w:pStyle w:val="Ttulo1"/>
      </w:pPr>
      <w:r>
        <w:t>2. KPIs Definidos</w:t>
      </w:r>
    </w:p>
    <w:p w14:paraId="5F4D4EE0" w14:textId="77777777" w:rsidR="008423D8" w:rsidRDefault="00C65A5C">
      <w:pPr>
        <w:pStyle w:val="Ttulo2"/>
      </w:pPr>
      <w:r>
        <w:t>KPI 1: Total de familias que participaron</w:t>
      </w:r>
    </w:p>
    <w:p w14:paraId="33D7D093" w14:textId="77777777" w:rsidR="008423D8" w:rsidRDefault="00C65A5C">
      <w:r>
        <w:t>Este KPI muestra el n</w:t>
      </w:r>
      <w:r>
        <w:t>úmero total de familias beneficiarias que participaron en el programa de bonos familiares. Permite dimensionar el alcance del programa a nivel nacional.</w:t>
      </w:r>
      <w:r>
        <w:br/>
        <w:t>Resultado: 63,000 familias aproximadamente.</w:t>
      </w:r>
    </w:p>
    <w:p w14:paraId="79697223" w14:textId="77777777" w:rsidR="008423D8" w:rsidRDefault="00C65A5C">
      <w:pPr>
        <w:pStyle w:val="Ttulo2"/>
      </w:pPr>
      <w:r>
        <w:t>KPI 2: Modalidades CSP vs AVN</w:t>
      </w:r>
    </w:p>
    <w:p w14:paraId="5D4CA7A4" w14:textId="77777777" w:rsidR="008423D8" w:rsidRDefault="00C65A5C">
      <w:r>
        <w:t>Se muestra la distribución de</w:t>
      </w:r>
      <w:r>
        <w:t xml:space="preserve"> los bonos entre las modalidades CSP (Construcción en Sitio Propio) y AVN (Adquisición de Vivienda Nueva). Este análisis permite comparar el nivel de participación entre ambas modalidades.</w:t>
      </w:r>
      <w:r>
        <w:br/>
        <w:t>Resultado: CSP concentra más de 45 mil bonos, mientras que AVN alre</w:t>
      </w:r>
      <w:r>
        <w:t>dedor de 18 mil.</w:t>
      </w:r>
    </w:p>
    <w:p w14:paraId="60C83364" w14:textId="77777777" w:rsidR="008423D8" w:rsidRDefault="00C65A5C">
      <w:pPr>
        <w:pStyle w:val="Ttulo2"/>
      </w:pPr>
      <w:r>
        <w:t>KPI 3: Etapas del VIS</w:t>
      </w:r>
    </w:p>
    <w:p w14:paraId="7B6863FB" w14:textId="77777777" w:rsidR="008423D8" w:rsidRDefault="00C65A5C">
      <w:r>
        <w:t>Este KPI permite identificar en qué etapa se encuentran los bonos del programa: construcción, entrega, verificación o liberación. Es útil para monitorear el avance y cumplimiento de las metas.</w:t>
      </w:r>
      <w:r>
        <w:br/>
        <w:t>Resultado: VIS en constr</w:t>
      </w:r>
      <w:r>
        <w:t>ucción (~30 mil) y VIS entregada (~29 mil) son las etapas con mayor cantidad.</w:t>
      </w:r>
    </w:p>
    <w:p w14:paraId="6ED0A086" w14:textId="77777777" w:rsidR="008423D8" w:rsidRDefault="00C65A5C">
      <w:pPr>
        <w:pStyle w:val="Ttulo2"/>
      </w:pPr>
      <w:r>
        <w:t>KPI 4: Bonos por provincias fuera de Lima</w:t>
      </w:r>
    </w:p>
    <w:p w14:paraId="54AB16C3" w14:textId="77777777" w:rsidR="008423D8" w:rsidRDefault="00C65A5C">
      <w:r>
        <w:t>Se muestran las provincias con mayor cantidad de bonos otorgados, lo cual refleja la descentralización del programa y su impacto en dist</w:t>
      </w:r>
      <w:r>
        <w:t>intas regiones.</w:t>
      </w:r>
      <w:r>
        <w:br/>
        <w:t>Resultado: Provincias con mayor número de bonos: Chiclayo, Santa, Piura, Ascope y Trujillo.</w:t>
      </w:r>
    </w:p>
    <w:p w14:paraId="429507D6" w14:textId="77777777" w:rsidR="008423D8" w:rsidRDefault="00C65A5C">
      <w:pPr>
        <w:pStyle w:val="Ttulo2"/>
      </w:pPr>
      <w:r>
        <w:t>KPI 5: Evolución de bonos desembolsados por año (2024 vs 2025)</w:t>
      </w:r>
    </w:p>
    <w:p w14:paraId="6A5A8424" w14:textId="77777777" w:rsidR="008423D8" w:rsidRDefault="00C65A5C">
      <w:r>
        <w:t>Este KPI compara el número de bonos desembolsados en los años 2024 y 2025, lo que per</w:t>
      </w:r>
      <w:r>
        <w:t>mite analizar la evolución del programa en el tiempo.</w:t>
      </w:r>
      <w:r>
        <w:br/>
        <w:t>Resultado: En 2024 se desembolsaron ~36 mil bonos, mientras que en 2025 alrededor de 27 mil.</w:t>
      </w:r>
    </w:p>
    <w:p w14:paraId="2D8C4C65" w14:textId="77777777" w:rsidR="008423D8" w:rsidRDefault="00C65A5C">
      <w:pPr>
        <w:pStyle w:val="Ttulo2"/>
      </w:pPr>
      <w:r>
        <w:lastRenderedPageBreak/>
        <w:t>KPI 6: Bonos por entidades técnicas promotoras</w:t>
      </w:r>
    </w:p>
    <w:p w14:paraId="7A5B8712" w14:textId="77777777" w:rsidR="008423D8" w:rsidRDefault="00C65A5C">
      <w:r>
        <w:t>Se muestran las principales entidades técnicas inmobiliarias q</w:t>
      </w:r>
      <w:r>
        <w:t>ue gestionan los bonos. Este KPI permite identificar a las empresas con mayor participación en el programa.</w:t>
      </w:r>
      <w:r>
        <w:br/>
        <w:t>Resultado: Las principales entidades son Los Portales S.A., Bectek Contratistas S.A.C., Desarrollo Inmobiliario Marverde S.A.C., entre otras.</w:t>
      </w:r>
    </w:p>
    <w:p w14:paraId="2459A937" w14:textId="77777777" w:rsidR="008423D8" w:rsidRDefault="00C65A5C">
      <w:pPr>
        <w:pStyle w:val="Ttulo1"/>
      </w:pPr>
      <w:r>
        <w:t>3. Con</w:t>
      </w:r>
      <w:r>
        <w:t>clusiones</w:t>
      </w:r>
    </w:p>
    <w:p w14:paraId="1EBD5735" w14:textId="0E631DAC" w:rsidR="008423D8" w:rsidRDefault="00C65A5C">
      <w:r>
        <w:t>El dashboard desarrollado en Power BI permite un análisis integral del programa de Bonos Familiares Habitacionales, facilitando la visualización de tendencias, participación por modalidad, distribución territorial y desempeño de las entidades pro</w:t>
      </w:r>
      <w:r>
        <w:t xml:space="preserve">motoras. Los indicadores muestran que la modalidad CSP es la más utilizada, que la mayoría de los bonos están en etapa de construcción o entrega, y que el 2024 registró un mayor número de desembolsos en </w:t>
      </w:r>
      <w:proofErr w:type="spellStart"/>
      <w:r>
        <w:t>comparación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2025.</w:t>
      </w:r>
    </w:p>
    <w:p w14:paraId="0B75FED8" w14:textId="4815BE09" w:rsidR="00C65A5C" w:rsidRDefault="00C65A5C">
      <w:r>
        <w:rPr>
          <w:noProof/>
        </w:rPr>
        <w:drawing>
          <wp:inline distT="0" distB="0" distL="0" distR="0" wp14:anchorId="05283F42" wp14:editId="762D0EAF">
            <wp:extent cx="5486400" cy="29673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A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423D8"/>
    <w:rsid w:val="00AA1D8D"/>
    <w:rsid w:val="00B47730"/>
    <w:rsid w:val="00C65A5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5223FF67-936F-40C9-B2B8-6FACE27C5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427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joseph rojas</cp:lastModifiedBy>
  <cp:revision>2</cp:revision>
  <dcterms:created xsi:type="dcterms:W3CDTF">2013-12-23T23:15:00Z</dcterms:created>
  <dcterms:modified xsi:type="dcterms:W3CDTF">2025-10-03T21:46:00Z</dcterms:modified>
  <cp:category/>
</cp:coreProperties>
</file>