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64748B"/>
          <w:sz w:val="22"/>
        </w:rPr>
        <w:t>DUOC UC — ESCUELA DE INFORMÁTICA Y TELECOMUNICACIONES</w:t>
        <w:br/>
        <w:t>INFRAESTRUCTURA COMO CÓDIGO I (AUY1103)</w:t>
      </w:r>
    </w:p>
    <w:p/>
    <w:p>
      <w:pPr>
        <w:jc w:val="center"/>
      </w:pPr>
      <w:r>
        <w:rPr>
          <w:rFonts w:ascii="Arial" w:hAnsi="Arial"/>
          <w:b/>
          <w:color w:val="003366"/>
          <w:sz w:val="40"/>
        </w:rPr>
        <w:t>EVALUACIÓN PARCIAL N° 2</w:t>
        <w:br/>
        <w:t>TERRAFORM I: MIGRACIÓN EMPRESARIAL, MODULARIZACIÓN Y SERVICIOS EN AWS</w:t>
      </w:r>
    </w:p>
    <w:p/>
    <w:p>
      <w:pPr>
        <w:jc w:val="center"/>
      </w:pPr>
      <w:r>
        <w:rPr>
          <w:rFonts w:ascii="Arial" w:hAnsi="Arial"/>
          <w:i/>
          <w:color w:val="475569"/>
          <w:sz w:val="24"/>
        </w:rPr>
        <w:t>Despliegue automatizado de VPC modular, balanceadores ALB redundantes, microservicios Docker, sitio web de alta disponibilidad y base de datos relacional RDS MySQL.</w:t>
      </w:r>
    </w:p>
    <w:p/>
    <w:p/>
    <w:p/>
    <w:p/>
    <w:p/>
    <w:p/>
    <w:p>
      <w:pPr>
        <w:jc w:val="right"/>
      </w:pPr>
      <w:r>
        <w:rPr>
          <w:rFonts w:ascii="Arial" w:hAnsi="Arial"/>
          <w:b/>
          <w:color w:val="1E293B"/>
          <w:sz w:val="22"/>
        </w:rPr>
        <w:t>INTEGRANTES:</w:t>
        <w:br/>
        <w:t>José Antonio Villarroel Cires</w:t>
        <w:br/>
        <w:t>Fernando Galdamez</w:t>
        <w:br/>
        <w:br/>
        <w:t>ASIGNATURA:</w:t>
        <w:br/>
        <w:t>AUY1103 — Infraestructura como Código I</w:t>
        <w:br/>
        <w:br/>
        <w:t>DOCENTE:</w:t>
        <w:br/>
        <w:t>Maleta Didáctica Duoc UC</w:t>
        <w:br/>
        <w:br/>
        <w:t>FECHA:</w:t>
        <w:br/>
        <w:t>Octubre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Tabla de Contenidos</w:t>
      </w:r>
    </w:p>
    <w:p>
      <w:pPr>
        <w:spacing w:line="300" w:lineRule="auto"/>
      </w:pPr>
      <w:r>
        <w:rPr>
          <w:rFonts w:ascii="Arial" w:hAnsi="Arial"/>
          <w:sz w:val="20"/>
        </w:rPr>
        <w:t>1. Introducción y Contexto del Proyecto</w:t>
      </w:r>
    </w:p>
    <w:p>
      <w:pPr>
        <w:spacing w:line="300" w:lineRule="auto"/>
      </w:pPr>
      <w:r>
        <w:rPr>
          <w:rFonts w:ascii="Arial" w:hAnsi="Arial"/>
          <w:sz w:val="20"/>
        </w:rPr>
        <w:t>2. Arquitectura de Solución en AWS</w:t>
      </w:r>
    </w:p>
    <w:p>
      <w:pPr>
        <w:spacing w:line="300" w:lineRule="auto"/>
      </w:pPr>
      <w:r>
        <w:rPr>
          <w:rFonts w:ascii="Arial" w:hAnsi="Arial"/>
          <w:sz w:val="20"/>
        </w:rPr>
        <w:t>3. Etapa 1 — Ambiente de Trabajo, Providers y Módulos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3.1 Inicialización y Bloqueo de Dependencias (terraform init)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3.2 Validación de Sintaxis y Formato (terraform validate)</w:t>
      </w:r>
    </w:p>
    <w:p>
      <w:pPr>
        <w:spacing w:line="300" w:lineRule="auto"/>
      </w:pPr>
      <w:r>
        <w:rPr>
          <w:rFonts w:ascii="Arial" w:hAnsi="Arial"/>
          <w:sz w:val="20"/>
        </w:rPr>
        <w:t>4. Etapa 2 — Implementación y Planificación Declarativa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4.1 Generación del Plan de Ejecución (terraform plan dev)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4.2 Aplicación y Despliegue de Infraestructura (terraform apply)</w:t>
      </w:r>
    </w:p>
    <w:p>
      <w:pPr>
        <w:spacing w:line="300" w:lineRule="auto"/>
      </w:pPr>
      <w:r>
        <w:rPr>
          <w:rFonts w:ascii="Arial" w:hAnsi="Arial"/>
          <w:sz w:val="20"/>
        </w:rPr>
        <w:t>5. Etapa 3 — Validación Funcional de Servicios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5.1 Servidor Web Estático en ALB (Nginx)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5.2 Clúster de Microservicios BackEnd en ALB (Docker nginxdemos/hello)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5.3 Base de Datos Relacional Gestionada (RDS MySQL 8.0 vía DBeaver)</w:t>
      </w:r>
    </w:p>
    <w:p>
      <w:pPr>
        <w:spacing w:line="300" w:lineRule="auto"/>
      </w:pPr>
      <w:r>
        <w:rPr>
          <w:rFonts w:ascii="Arial" w:hAnsi="Arial"/>
          <w:sz w:val="20"/>
        </w:rPr>
        <w:t>6. Etapa 4 — Depuración (Debugging), Idempotencia y Reemplazo Forzado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6.1 Bitácora de Incidencias Técnicas (3 Casos Documentados)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6.2 Demostración de Idempotencia (No changes)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6.3 Reemplazo Forzado de Recursos (terraform apply -replace)</w:t>
      </w:r>
    </w:p>
    <w:p>
      <w:pPr>
        <w:spacing w:line="300" w:lineRule="auto"/>
      </w:pPr>
      <w:r>
        <w:rPr>
          <w:rFonts w:ascii="Arial" w:hAnsi="Arial"/>
          <w:sz w:val="20"/>
        </w:rPr>
        <w:t>7. Etapa 5 — Gestión Multi-entorno y Destrucción Controlada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7.1 Planificación del Entorno de Producción (prod.tfvars)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7.2 Cierre y Destrucción de Recursos (terraform destroy)</w:t>
      </w:r>
    </w:p>
    <w:p>
      <w:pPr>
        <w:spacing w:line="300" w:lineRule="auto"/>
      </w:pPr>
      <w:r>
        <w:rPr>
          <w:rFonts w:ascii="Arial" w:hAnsi="Arial"/>
          <w:sz w:val="20"/>
        </w:rPr>
        <w:t>8. Decisiones Técnicas y Análisis de Diseño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8.1 Estrategia de Iteración: count vs for_each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8.2 Modularización Propia y Registro Público</w:t>
      </w:r>
    </w:p>
    <w:p>
      <w:pPr>
        <w:spacing w:line="300" w:lineRule="auto"/>
      </w:pPr>
      <w:r>
        <w:rPr>
          <w:rFonts w:ascii="Arial" w:hAnsi="Arial"/>
          <w:sz w:val="20"/>
        </w:rPr>
        <w:t xml:space="preserve">   8.3 Guardrails y Restricciones de AWS Academy Learner Lab</w:t>
      </w:r>
    </w:p>
    <w:p>
      <w:pPr>
        <w:spacing w:line="300" w:lineRule="auto"/>
      </w:pPr>
      <w:r>
        <w:rPr>
          <w:rFonts w:ascii="Arial" w:hAnsi="Arial"/>
          <w:sz w:val="20"/>
        </w:rPr>
        <w:t>9. Conclusiones</w:t>
      </w:r>
    </w:p>
    <w:p>
      <w:pPr>
        <w:spacing w:line="300" w:lineRule="auto"/>
      </w:pPr>
      <w:r>
        <w:rPr>
          <w:rFonts w:ascii="Arial" w:hAnsi="Arial"/>
          <w:sz w:val="20"/>
        </w:rPr>
        <w:t>10. Anexo — Endpoints y Recursos Desplegados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1. Introducción y Contexto del Proyecto</w:t>
      </w:r>
    </w:p>
    <w:p>
      <w:r>
        <w:rPr>
          <w:rFonts w:ascii="Arial" w:hAnsi="Arial"/>
          <w:sz w:val="22"/>
        </w:rPr>
        <w:t>El presente informe documenta el desarrollo y ejecución de la Evaluación Parcial N° 2 de la asignatura Infraestructura como Código I (AUY1103). El objetivo fundamental consistió en diseñar, modularizar e implementar en Amazon Web Services (AWS) una infraestructura de servicios altamente disponible, escalable y segura, traduciendo un diagrama arquitectónico on-premises hacia el paradigma declarativo de Terraform.</w:t>
        <w:br/>
        <w:br/>
        <w:t>La solución integra el consumo de módulos del registro público oficial de Terraform, la construcción de un módulo local propio reutilizable, balanceo de carga de capa 7 (Application Load Balancers), instancias virtuales EC2 con Ubuntu 24.04 LTS orquestando contenedores Docker y un servidor web estático, junto con una base de datos relacional persistente RDS MySQL 8.0, cumpliendo rigurosamente con los indicadores de logro y estándares evaluados.</w:t>
      </w:r>
    </w:p>
    <w:p>
      <w:pPr>
        <w:pStyle w:val="Heading1"/>
      </w:pPr>
      <w:r>
        <w:rPr>
          <w:rFonts w:ascii="Arial" w:hAnsi="Arial"/>
          <w:color w:val="003366"/>
        </w:rPr>
        <w:t>2. Arquitectura de Solución en AWS</w:t>
      </w:r>
    </w:p>
    <w:p>
      <w:r>
        <w:rPr>
          <w:rFonts w:ascii="Arial" w:hAnsi="Arial"/>
          <w:sz w:val="22"/>
        </w:rPr>
        <w:t>La arquitectura fue diseñada bajo el principio de aislamiento de red y menor privilegio en Security Groups. Consta de los siguientes componentes orquestados:</w:t>
        <w:br/>
        <w:t>• VPC Modular: 2 Zonas de disponibilidad (us-east-1a y us-east-1b), con subredes públicas para balanceadores y computo, y subredes dedicadas para bases de datos (RDS).</w:t>
        <w:br/>
        <w:t>• Application Load Balancers (ALB) Redundantes: Un balanceador dedicado para la rama del Sitio Web Estático y un segundo balanceador dedicado para la distribución de tráfico hacia el clúster de microservicios Docker.</w:t>
        <w:br/>
        <w:t>• Capa de Cómputo (Módulo Local): 1 servidor EC2 Nginx para la página web corporativa y 3 servidores EC2 ejecutando contenedores Docker (nginxdemos/hello) con balanceo Round Robin.</w:t>
        <w:br/>
        <w:t>• Base de Datos Relacional: Instancia RDS MySQL 8.0 desplegada en subredes de BD con acceso restringido únicamente desde los backends de Docker y la dirección IP pública del administrador autorizada vía data source.</w:t>
      </w:r>
    </w:p>
    <w:p>
      <w:pPr>
        <w:pStyle w:val="Heading1"/>
      </w:pPr>
      <w:r>
        <w:rPr>
          <w:rFonts w:ascii="Arial" w:hAnsi="Arial"/>
          <w:color w:val="003366"/>
        </w:rPr>
        <w:t>3. Etapa 1 — Ambiente de Trabajo, Providers y Módulos</w:t>
      </w:r>
    </w:p>
    <w:p>
      <w:pPr>
        <w:pStyle w:val="Heading2"/>
      </w:pPr>
      <w:r>
        <w:rPr>
          <w:rFonts w:ascii="Arial" w:hAnsi="Arial"/>
          <w:color w:val="0284C7"/>
        </w:rPr>
        <w:t>3.1 Inicialización y Bloqueo de Dependencias (terraform init)</w:t>
      </w:r>
    </w:p>
    <w:p>
      <w:r>
        <w:rPr>
          <w:rFonts w:ascii="Arial" w:hAnsi="Arial"/>
          <w:sz w:val="22"/>
        </w:rPr>
        <w:t>Se configuró el archivo terraform.tf fijando versiones compatibles con el estándar moderno (Terraform &gt;= 1.9) y tres providers con versiones fijadas (~&gt;): hashicorp/aws (~&gt; 6.0 / 5.0), hashicorp/random (~&gt; 3.6) y hashicorp/http (~&gt; 3.4). Asimismo, se integró el módulo verificado terraform-aws-modules/vpc/aws. Al ejecutar terraform init, Terraform resolvió las dependencias, descargó los plugins e instaló el archivo .terraform.lock.hcl garantizando reproducibilidad determinista.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0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rraform_i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Inicialización exitosa de Terraform descargando providers y módulos</w:t>
      </w:r>
    </w:p>
    <w:p/>
    <w:p>
      <w:pPr>
        <w:pStyle w:val="Heading2"/>
      </w:pPr>
      <w:r>
        <w:rPr>
          <w:rFonts w:ascii="Arial" w:hAnsi="Arial"/>
          <w:color w:val="0284C7"/>
        </w:rPr>
        <w:t>3.2 Validación de Sintaxis y Formato (terraform validate)</w:t>
      </w:r>
    </w:p>
    <w:p>
      <w:r>
        <w:rPr>
          <w:rFonts w:ascii="Arial" w:hAnsi="Arial"/>
          <w:sz w:val="22"/>
        </w:rPr>
        <w:t>Se aplicó el formateo canónico mediante terraform fmt y se verificó la integridad semántica del código mediante terraform validate, obteniendo como resultado un entorno sintácticamente correcto y validado.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4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rraform_valid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Validación exitosa del código HCL (Success! The configuration is valid)</w:t>
      </w:r>
    </w:p>
    <w:p/>
    <w:p>
      <w:pPr>
        <w:pStyle w:val="Heading1"/>
      </w:pPr>
      <w:r>
        <w:rPr>
          <w:rFonts w:ascii="Arial" w:hAnsi="Arial"/>
          <w:color w:val="003366"/>
        </w:rPr>
        <w:t>4. Etapa 2 — Implementación y Planificación Declarativa</w:t>
      </w:r>
    </w:p>
    <w:p>
      <w:pPr>
        <w:pStyle w:val="Heading2"/>
      </w:pPr>
      <w:r>
        <w:rPr>
          <w:rFonts w:ascii="Arial" w:hAnsi="Arial"/>
          <w:color w:val="0284C7"/>
        </w:rPr>
        <w:t>4.1 Generación del Plan de Ejecución (terraform plan dev)</w:t>
      </w:r>
    </w:p>
    <w:p>
      <w:r>
        <w:rPr>
          <w:rFonts w:ascii="Arial" w:hAnsi="Arial"/>
          <w:sz w:val="22"/>
        </w:rPr>
        <w:t>Se generó el plan de ejecución para el entorno de desarrollo mediante terraform plan -var-file=dev.tfvars -out=plan.tfplan. El plan analizó las declaraciones HCL contra el estado deseado en AWS, proyectando la creación de los recursos de red, seguridad, balanceo, cómputo y base de datos con outputs dinámicos y valores sensibles enmascarados.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3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rraform_plan_de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Resumen del plan de ejecución proyectando los recursos a crear en AWS</w:t>
      </w:r>
    </w:p>
    <w:p/>
    <w:p>
      <w:pPr>
        <w:pStyle w:val="Heading2"/>
      </w:pPr>
      <w:r>
        <w:rPr>
          <w:rFonts w:ascii="Arial" w:hAnsi="Arial"/>
          <w:color w:val="0284C7"/>
        </w:rPr>
        <w:t>4.2 Aplicación y Despliegue de Infraestructura (terraform apply)</w:t>
      </w:r>
    </w:p>
    <w:p>
      <w:r>
        <w:rPr>
          <w:rFonts w:ascii="Arial" w:hAnsi="Arial"/>
          <w:sz w:val="22"/>
        </w:rPr>
        <w:t>Se procedió al aprovisionamiento real de la infraestructura en AWS ejecutando terraform apply plan.tfplan. El proceso aprovisionó la VPC, los balanceadores ALB, los grupos de seguridad, las instancias virtuales EC2 y la base de datos RDS MySQL, entregando al término los endpoints y URLs en los outputs correspondientes.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4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rraform_apply_outpu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Despliegue finalizado exitosamente y outputs generados</w:t>
      </w:r>
    </w:p>
    <w:p/>
    <w:p>
      <w:pPr>
        <w:pStyle w:val="Heading1"/>
      </w:pPr>
      <w:r>
        <w:rPr>
          <w:rFonts w:ascii="Arial" w:hAnsi="Arial"/>
          <w:color w:val="003366"/>
        </w:rPr>
        <w:t>5. Etapa 3 — Validación Funcional de Servicios</w:t>
      </w:r>
    </w:p>
    <w:p>
      <w:pPr>
        <w:pStyle w:val="Heading2"/>
      </w:pPr>
      <w:r>
        <w:rPr>
          <w:rFonts w:ascii="Arial" w:hAnsi="Arial"/>
          <w:color w:val="0284C7"/>
        </w:rPr>
        <w:t>5.1 Servidor Web Estático en ALB (Nginx)</w:t>
      </w:r>
    </w:p>
    <w:p>
      <w:r>
        <w:rPr>
          <w:rFonts w:ascii="Arial" w:hAnsi="Arial"/>
          <w:sz w:val="22"/>
        </w:rPr>
        <w:t>Se validó el acceso al sitio web estático a través del DNS del Application Load Balancer en el puerto HTTP:80. La página HTML personalizada desplegada mediante user_data confirma la autoría de los integrantes del proyecto y el entorno activo.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4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lidacion_web_estat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Sitio web estático accesible tras el ALB mostrando a los integrantes</w:t>
      </w:r>
    </w:p>
    <w:p/>
    <w:p>
      <w:pPr>
        <w:pStyle w:val="Heading2"/>
      </w:pPr>
      <w:r>
        <w:rPr>
          <w:rFonts w:ascii="Arial" w:hAnsi="Arial"/>
          <w:color w:val="0284C7"/>
        </w:rPr>
        <w:t>5.2 Clúster de Microservicios BackEnd en ALB (Docker nginxdemos/hello)</w:t>
      </w:r>
    </w:p>
    <w:p>
      <w:r>
        <w:rPr>
          <w:rFonts w:ascii="Arial" w:hAnsi="Arial"/>
          <w:sz w:val="22"/>
        </w:rPr>
        <w:t>Se validó la disponibilidad del clúster de microservicios Docker a través del DNS de su balanceador de carga. La interfaz web de NGINX Hello visualiza la dirección IP interna y el identificador de contenedor (Server name), evidenciando la distribución de tráfico balanceado entre las instancias del backend.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1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idacion_backends_doc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Servicio Docker respondiendo a través del balanceador ALB</w:t>
      </w:r>
    </w:p>
    <w:p/>
    <w:p>
      <w:pPr>
        <w:pStyle w:val="Heading2"/>
      </w:pPr>
      <w:r>
        <w:rPr>
          <w:rFonts w:ascii="Arial" w:hAnsi="Arial"/>
          <w:color w:val="0284C7"/>
        </w:rPr>
        <w:t>5.3 Base de Datos Relacional Gestionada (RDS MySQL 8.0 vía DBeaver)</w:t>
      </w:r>
    </w:p>
    <w:p>
      <w:r>
        <w:rPr>
          <w:rFonts w:ascii="Arial" w:hAnsi="Arial"/>
          <w:sz w:val="22"/>
        </w:rPr>
        <w:t>Se estableció conexión directa a la base de datos MySQL 8.0 en Amazon RDS utilizando el cliente DBeaver. La autenticación se realizó con el usuario administrador y la contraseña generada aleatoriamente por Terraform (obtenida con terraform output -raw rds_password). Se creó la tabla 'alumnos' y se insertaron los registros de los integrantes.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5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lidacion_dbeaver_conex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5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Parámetros de conexión configurados en DBeaver hacia RDS MySQL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932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lidacion_dbeaver_query_alum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Consulta SELECT * FROM alumnos verificando los registros persistidos</w:t>
      </w:r>
    </w:p>
    <w:p/>
    <w:p>
      <w:pPr>
        <w:pStyle w:val="Heading1"/>
      </w:pPr>
      <w:r>
        <w:rPr>
          <w:rFonts w:ascii="Arial" w:hAnsi="Arial"/>
          <w:color w:val="003366"/>
        </w:rPr>
        <w:t>6. Etapa 4 — Depuración (Debugging), Idempotencia y Reemplazo Forzado</w:t>
      </w:r>
    </w:p>
    <w:p>
      <w:pPr>
        <w:pStyle w:val="Heading2"/>
      </w:pPr>
      <w:r>
        <w:rPr>
          <w:rFonts w:ascii="Arial" w:hAnsi="Arial"/>
          <w:color w:val="0284C7"/>
        </w:rPr>
        <w:t>6.1 Bitácora de Incidencias Técnicas (Rúbrica IE 3.3.1 y 3.3.2)</w:t>
      </w:r>
    </w:p>
    <w:p>
      <w:r>
        <w:rPr>
          <w:rFonts w:ascii="Arial" w:hAnsi="Arial"/>
          <w:sz w:val="22"/>
        </w:rPr>
        <w:t>Durante el ciclo de desarrollo y despliegue se registraron las siguientes incidencias técnicas reales y provocadas, analizadas con herramientas de diagnóstico de Terraform y corregidas íntegramente en código: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Incidencia</w:t>
            </w:r>
          </w:p>
        </w:tc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Mensaje de Error / Síntoma</w:t>
            </w:r>
          </w:p>
        </w:tc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Herramienta y Causa Raíz</w:t>
            </w:r>
          </w:p>
        </w:tc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Corrección en Código HCL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rFonts w:ascii="Arial" w:hAnsi="Arial"/>
                <w:sz w:val="17"/>
              </w:rPr>
              <w:t>Incidencia 1: Error 403 en Data Source de CloudFront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Error: listing CloudFront Cache Policies: operation error CloudFront: ListCachePolicies StatusCode: 403 AccessDenied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rFonts w:ascii="Arial" w:hAnsi="Arial"/>
                <w:sz w:val="17"/>
              </w:rPr>
              <w:t>Herramienta: terraform plan.</w:t>
              <w:br/>
              <w:t>Causa: El rol IAM voclabs de AWS Academy Learner Lab tiene bloqueada la acción ListCachePolicies.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Se eliminó el data source y se referenció directamente el ID universal oficial de AWS: '658327ea-f89d-4fab-a63d-7e88639e58f6'.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rFonts w:ascii="Arial" w:hAnsi="Arial"/>
                <w:sz w:val="17"/>
              </w:rPr>
              <w:t>Incidencia 2: Restricción SCP en S3 Object Lock y OAC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Error: reading S3 Bucket object lock configuration ... StatusCode: 403 explicit deny in a service control policy p-gi77lu0b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rFonts w:ascii="Arial" w:hAnsi="Arial"/>
                <w:sz w:val="17"/>
              </w:rPr>
              <w:t>Herramienta: terraform apply / state show.</w:t>
              <w:br/>
              <w:t>Causa: La política SCP de AWS Academy prohíbe consultas de Object Lock y CloudFront OAC.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Se ajustó la arquitectura para servir los microservicios y páginas web a través del Application Load Balancer redundante en subredes públicas.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rFonts w:ascii="Arial" w:hAnsi="Arial"/>
                <w:sz w:val="17"/>
              </w:rPr>
              <w:t>Incidencia 3: Target Groups en estado Unhealthy (502 Bad Gateway)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HTTP Error 502: Bad Gateway en ambos balanceadores ALB. Target.FailedHealthChecks.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rFonts w:ascii="Arial" w:hAnsi="Arial"/>
                <w:sz w:val="17"/>
              </w:rPr>
              <w:t>Herramienta: aws elbv2 describe-target-health y terraform console.</w:t>
              <w:br/>
              <w:t>Causa: Las instancias no tenían IP pública para descargar paquetes vía user_data (sin NAT).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Se añadió associate_public_ip_address = true en el módulo servidor, permitiendo a las instancias descargar Nginx y Docker vía Internet Gateway.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284C7"/>
        </w:rPr>
        <w:t>6.2 Demostración de Idempotencia (No changes)</w:t>
      </w:r>
    </w:p>
    <w:p>
      <w:r>
        <w:rPr>
          <w:rFonts w:ascii="Arial" w:hAnsi="Arial"/>
          <w:sz w:val="22"/>
        </w:rPr>
        <w:t>Para validar el principio fundamental de idempotencia en Infraestructura como Código, se ejecutó un segundo comando terraform plan -var-file=dev.tfvars inmediatamente posterior a la convergencia. Terraform comprobó el estado real de los recursos en AWS contra el archivo de estado, confirmando 'No changes. Your infrastructure matches the configuration'.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00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dempotencia_no_chan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Idempotencia comprobada: infraestructura sincronizada sin cambios pendientes</w:t>
      </w:r>
    </w:p>
    <w:p/>
    <w:p>
      <w:pPr>
        <w:pStyle w:val="Heading2"/>
      </w:pPr>
      <w:r>
        <w:rPr>
          <w:rFonts w:ascii="Arial" w:hAnsi="Arial"/>
          <w:color w:val="0284C7"/>
        </w:rPr>
        <w:t>6.3 Reemplazo Forzado de Recursos (terraform apply -replace)</w:t>
      </w:r>
    </w:p>
    <w:p>
      <w:r>
        <w:rPr>
          <w:rFonts w:ascii="Arial" w:hAnsi="Arial"/>
          <w:sz w:val="22"/>
        </w:rPr>
        <w:t>En cumplimiento de los contenidos de depuración de la EA2, se utilizó el comando moderno terraform apply -replace="..." para forzar la recreación controlada de una instancia. Se evidenció el plan -/+ (destrucción y creación ordenada), garantizando que no se utilicen comandos obsoletos como terraform taint ni alteraciones manuales en consola.</w:t>
      </w:r>
    </w:p>
    <w:p>
      <w:pPr>
        <w:pStyle w:val="Heading1"/>
      </w:pPr>
      <w:r>
        <w:rPr>
          <w:rFonts w:ascii="Arial" w:hAnsi="Arial"/>
          <w:color w:val="003366"/>
        </w:rPr>
        <w:t>7. Etapa 5 — Gestión Multi-entorno y Destrucción Controlada</w:t>
      </w:r>
    </w:p>
    <w:p>
      <w:pPr>
        <w:pStyle w:val="Heading2"/>
      </w:pPr>
      <w:r>
        <w:rPr>
          <w:rFonts w:ascii="Arial" w:hAnsi="Arial"/>
          <w:color w:val="0284C7"/>
        </w:rPr>
        <w:t>7.1 Planificación del Entorno de Producción (prod.tfvars)</w:t>
      </w:r>
    </w:p>
    <w:p>
      <w:r>
        <w:rPr>
          <w:rFonts w:ascii="Arial" w:hAnsi="Arial"/>
          <w:sz w:val="22"/>
        </w:rPr>
        <w:t>Se diseñó una estrategia multi-entorno desacoplada utilizando archivos de variables diferenciados. Al ejecutar terraform plan -var-file=prod.tfvars, se evidenció que la infraestructura escala automáticamente a 4 nodos de backend, cambia el tipo de máquina a t3.small y reconfigura las etiquetas (Environment = 'prod'), sin requerir duplicación de código.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60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lan_produccion_multien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Figura: Plan de ejecución para el entorno de Producción evidenciando escalabilidad</w:t>
      </w:r>
    </w:p>
    <w:p/>
    <w:p>
      <w:pPr>
        <w:pStyle w:val="Heading2"/>
      </w:pPr>
      <w:r>
        <w:rPr>
          <w:rFonts w:ascii="Arial" w:hAnsi="Arial"/>
          <w:color w:val="0284C7"/>
        </w:rPr>
        <w:t>7.2 Cierre y Destrucción de Recursos (terraform destroy)</w:t>
      </w:r>
    </w:p>
    <w:p>
      <w:r>
        <w:rPr>
          <w:rFonts w:ascii="Arial" w:hAnsi="Arial"/>
          <w:sz w:val="22"/>
        </w:rPr>
        <w:t>Como buena práctica de gobernanza y preservación presupuestaria en AWS Academy Learner Lab, se ejecutó la destrucción completa de la infraestructura mediante terraform destroy -var-file=dev.tfvars -auto-approve. Todos los recursos fueron eliminados ordenadamente, eliminando costos residuales.</w:t>
      </w:r>
    </w:p>
    <w:p>
      <w:pPr>
        <w:pStyle w:val="Heading1"/>
      </w:pPr>
      <w:r>
        <w:rPr>
          <w:rFonts w:ascii="Arial" w:hAnsi="Arial"/>
          <w:color w:val="003366"/>
        </w:rPr>
        <w:t>8. Decisiones Técnicas y Análisis de Diseño</w:t>
      </w:r>
    </w:p>
    <w:p>
      <w:r>
        <w:rPr>
          <w:rFonts w:ascii="Arial" w:hAnsi="Arial"/>
          <w:sz w:val="22"/>
        </w:rPr>
        <w:t>1. count vs for_each: Se utilizó count para las instancias del backend Docker ya que representan nodos de cómputo idénticos, homogéneos e intercambiables. Por el contrario, se utilizó for_each para los Application Load Balancers y las reglas dinámicas, puesto que poseen identidad única y ciclos de vida independientes.</w:t>
        <w:br/>
        <w:br/>
        <w:t>2. Modularización: La creación del módulo local ./modules/servidor encapsuló la definición de instancias EC2, sus Security Groups y sus target attachments, permitiendo reutilizar la misma lógica tanto para el servidor web estático como para el clúster de backends.</w:t>
        <w:br/>
        <w:br/>
        <w:t>3. Restricciones de Laboratorio: Ante las políticas organizacionales (SCP) de AWS Academy que bloquean CloudFront y consultas de S3 Object Lock, se implementó la variante autorizada por pauta de balanceo ALB directo, documentada en el README del proyecto.</w:t>
      </w:r>
    </w:p>
    <w:p>
      <w:pPr>
        <w:pStyle w:val="Heading1"/>
      </w:pPr>
      <w:r>
        <w:rPr>
          <w:rFonts w:ascii="Arial" w:hAnsi="Arial"/>
          <w:color w:val="003366"/>
        </w:rPr>
        <w:t>9. Conclusiones</w:t>
      </w:r>
    </w:p>
    <w:p>
      <w:r>
        <w:rPr>
          <w:rFonts w:ascii="Arial" w:hAnsi="Arial"/>
          <w:sz w:val="22"/>
        </w:rPr>
        <w:t>La evaluación permitió consolidar las capacidades profesionales de diseño y operación de Infraestructura como Código con Terraform:</w:t>
        <w:br/>
        <w:t>• Se implementó una solución modular, declarativa y parametrizada al 100%, sin valores 'hardcodeados' en el código fuente.</w:t>
        <w:br/>
        <w:t>• Se demostró la resiliencia y capacidad de resolución ante fallas reales y restricciones de permisos en la nube pública.</w:t>
        <w:br/>
        <w:t>• Se verificó el cumplimiento cabal de todos los indicadores de logro de la EA2, asegurando reproducibilidad, idempotencia y alta disponibilidad.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