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CB0B0" w14:textId="77777777" w:rsidR="00530322" w:rsidRDefault="00530322">
      <w:pPr>
        <w:spacing w:before="1800"/>
        <w:rPr>
          <w:rFonts w:ascii="Gotham" w:hAnsi="Gotham"/>
          <w:color w:val="000000" w:themeColor="text1"/>
          <w:sz w:val="24"/>
          <w:szCs w:val="24"/>
        </w:rPr>
      </w:pPr>
    </w:p>
    <w:p w14:paraId="6D9D065D" w14:textId="77777777" w:rsidR="007F0B5C" w:rsidRDefault="007F0B5C">
      <w:pPr>
        <w:spacing w:before="1800"/>
        <w:rPr>
          <w:rFonts w:ascii="Gotham" w:hAnsi="Gotham"/>
          <w:color w:val="000000" w:themeColor="text1"/>
          <w:sz w:val="24"/>
          <w:szCs w:val="24"/>
        </w:rPr>
      </w:pPr>
    </w:p>
    <w:p w14:paraId="32E4ED5C" w14:textId="77777777" w:rsidR="007F0B5C" w:rsidRPr="007F0B5C" w:rsidRDefault="007F0B5C">
      <w:pPr>
        <w:spacing w:before="1800"/>
        <w:rPr>
          <w:rFonts w:ascii="Gotham" w:hAnsi="Gotham"/>
          <w:color w:val="000000" w:themeColor="text1"/>
          <w:sz w:val="24"/>
          <w:szCs w:val="24"/>
        </w:rPr>
      </w:pPr>
    </w:p>
    <w:p w14:paraId="7CE321D5" w14:textId="77777777" w:rsidR="00530322" w:rsidRPr="007F0B5C" w:rsidRDefault="00000000">
      <w:pPr>
        <w:spacing w:after="200"/>
        <w:jc w:val="center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b/>
          <w:bCs/>
          <w:caps/>
          <w:color w:val="000000" w:themeColor="text1"/>
          <w:sz w:val="24"/>
          <w:szCs w:val="24"/>
          <w:lang w:val="pt-PT"/>
        </w:rPr>
        <w:t>Documento Técnico</w:t>
      </w:r>
    </w:p>
    <w:p w14:paraId="3095D6AD" w14:textId="77777777" w:rsidR="00530322" w:rsidRPr="007F0B5C" w:rsidRDefault="00000000">
      <w:pPr>
        <w:spacing w:after="200"/>
        <w:jc w:val="center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b/>
          <w:bCs/>
          <w:color w:val="000000" w:themeColor="text1"/>
          <w:sz w:val="24"/>
          <w:szCs w:val="24"/>
          <w:lang w:val="pt-PT"/>
        </w:rPr>
        <w:t>Documento de Arquitetura</w:t>
      </w:r>
    </w:p>
    <w:p w14:paraId="7F596CB5" w14:textId="77777777" w:rsidR="00530322" w:rsidRPr="007F0B5C" w:rsidRDefault="00000000">
      <w:pPr>
        <w:spacing w:after="1200"/>
        <w:jc w:val="center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i/>
          <w:iCs/>
          <w:color w:val="000000" w:themeColor="text1"/>
          <w:sz w:val="24"/>
          <w:szCs w:val="24"/>
          <w:lang w:val="pt-PT"/>
        </w:rPr>
        <w:t>Arquitetura Técnica da Plataforma de Biblioteca (Vutivi)</w:t>
      </w:r>
    </w:p>
    <w:p w14:paraId="24AC4EFF" w14:textId="77777777" w:rsidR="00530322" w:rsidRPr="007F0B5C" w:rsidRDefault="00000000">
      <w:pPr>
        <w:spacing w:after="60"/>
        <w:jc w:val="center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>Versão 1.0</w:t>
      </w:r>
    </w:p>
    <w:p w14:paraId="015F4E34" w14:textId="77777777" w:rsidR="00530322" w:rsidRPr="007F0B5C" w:rsidRDefault="00000000">
      <w:pPr>
        <w:spacing w:after="60"/>
        <w:jc w:val="center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>Agosto de 2026</w:t>
      </w:r>
    </w:p>
    <w:p w14:paraId="4047D1E5" w14:textId="77777777" w:rsidR="00530322" w:rsidRPr="007F0B5C" w:rsidRDefault="00000000">
      <w:pPr>
        <w:spacing w:after="60"/>
        <w:jc w:val="center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>Preparado para: Equipa de Engenharia</w:t>
      </w:r>
    </w:p>
    <w:p w14:paraId="1E4C1017" w14:textId="77777777" w:rsidR="00530322" w:rsidRPr="007F0B5C" w:rsidRDefault="00000000">
      <w:pPr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br w:type="page"/>
      </w:r>
    </w:p>
    <w:p w14:paraId="671215C0" w14:textId="77777777" w:rsidR="00530322" w:rsidRPr="007F0B5C" w:rsidRDefault="00000000">
      <w:pPr>
        <w:pStyle w:val="Heading1"/>
        <w:pBdr>
          <w:bottom w:val="single" w:sz="8" w:space="4" w:color="B8860B"/>
        </w:pBdr>
        <w:spacing w:before="400" w:after="200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b/>
          <w:bCs/>
          <w:color w:val="000000" w:themeColor="text1"/>
          <w:sz w:val="24"/>
          <w:szCs w:val="24"/>
          <w:lang w:val="pt-PT"/>
        </w:rPr>
        <w:lastRenderedPageBreak/>
        <w:t>1. Introdução e Objetivos</w:t>
      </w:r>
    </w:p>
    <w:p w14:paraId="3BD946F5" w14:textId="77777777" w:rsidR="00530322" w:rsidRPr="007F0B5C" w:rsidRDefault="00000000">
      <w:pPr>
        <w:spacing w:after="160" w:line="276" w:lineRule="auto"/>
        <w:jc w:val="both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>Este documento descreve como a plataforma Vutivi será construída tecnicamente: as suas camadas, componentes, fluxos de dados, modelo de dados e decisões arquiteturais. Serve de referência para a equipa de desenvolvimento durante a implementação e manutenção do sistema.</w:t>
      </w:r>
    </w:p>
    <w:p w14:paraId="1984078A" w14:textId="77777777" w:rsidR="00530322" w:rsidRPr="007F0B5C" w:rsidRDefault="00000000">
      <w:pPr>
        <w:pStyle w:val="Heading2"/>
        <w:spacing w:before="300" w:after="150"/>
        <w:rPr>
          <w:rFonts w:ascii="Gotham" w:hAnsi="Gotham"/>
          <w:color w:val="000000" w:themeColor="text1"/>
          <w:sz w:val="24"/>
          <w:szCs w:val="24"/>
        </w:rPr>
      </w:pPr>
      <w:r w:rsidRPr="007F0B5C">
        <w:rPr>
          <w:rFonts w:ascii="Gotham" w:hAnsi="Gotham"/>
          <w:b/>
          <w:bCs/>
          <w:color w:val="000000" w:themeColor="text1"/>
          <w:sz w:val="24"/>
          <w:szCs w:val="24"/>
        </w:rPr>
        <w:t xml:space="preserve">1.1 </w:t>
      </w:r>
      <w:proofErr w:type="spellStart"/>
      <w:r w:rsidRPr="007F0B5C">
        <w:rPr>
          <w:rFonts w:ascii="Gotham" w:hAnsi="Gotham"/>
          <w:b/>
          <w:bCs/>
          <w:color w:val="000000" w:themeColor="text1"/>
          <w:sz w:val="24"/>
          <w:szCs w:val="24"/>
        </w:rPr>
        <w:t>Objetivos</w:t>
      </w:r>
      <w:proofErr w:type="spellEnd"/>
      <w:r w:rsidRPr="007F0B5C">
        <w:rPr>
          <w:rFonts w:ascii="Gotham" w:hAnsi="Gotham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7F0B5C">
        <w:rPr>
          <w:rFonts w:ascii="Gotham" w:hAnsi="Gotham"/>
          <w:b/>
          <w:bCs/>
          <w:color w:val="000000" w:themeColor="text1"/>
          <w:sz w:val="24"/>
          <w:szCs w:val="24"/>
        </w:rPr>
        <w:t>Arquiteturais</w:t>
      </w:r>
      <w:proofErr w:type="spellEnd"/>
    </w:p>
    <w:p w14:paraId="7921E723" w14:textId="77777777" w:rsidR="00530322" w:rsidRPr="007F0B5C" w:rsidRDefault="00000000">
      <w:pPr>
        <w:pStyle w:val="ListParagraph"/>
        <w:numPr>
          <w:ilvl w:val="0"/>
          <w:numId w:val="2"/>
        </w:numPr>
        <w:spacing w:after="90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>Modularidade — cada domínio de negócio (livros, verificação, empréstimos, pagamentos) deve poder evoluir de forma isolada.</w:t>
      </w:r>
    </w:p>
    <w:p w14:paraId="24AD17C9" w14:textId="77777777" w:rsidR="00530322" w:rsidRPr="007F0B5C" w:rsidRDefault="00000000">
      <w:pPr>
        <w:pStyle w:val="ListParagraph"/>
        <w:numPr>
          <w:ilvl w:val="0"/>
          <w:numId w:val="2"/>
        </w:numPr>
        <w:spacing w:after="90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>Confiabilidade — operações financeiras e de verificação devem ser auditáveis e resistentes a falhas parciais.</w:t>
      </w:r>
    </w:p>
    <w:p w14:paraId="1F764D6B" w14:textId="77777777" w:rsidR="00530322" w:rsidRPr="007F0B5C" w:rsidRDefault="00000000">
      <w:pPr>
        <w:pStyle w:val="ListParagraph"/>
        <w:numPr>
          <w:ilvl w:val="0"/>
          <w:numId w:val="2"/>
        </w:numPr>
        <w:spacing w:after="90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>Escalabilidade — a arquitetura deve suportar crescimento do catálogo e do volume de transações sem redesenho estrutural.</w:t>
      </w:r>
    </w:p>
    <w:p w14:paraId="1884BBB8" w14:textId="77777777" w:rsidR="00530322" w:rsidRPr="007F0B5C" w:rsidRDefault="00000000">
      <w:pPr>
        <w:pStyle w:val="ListParagraph"/>
        <w:numPr>
          <w:ilvl w:val="0"/>
          <w:numId w:val="2"/>
        </w:numPr>
        <w:spacing w:after="90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>Segurança — separação clara de responsabilidades entre a aplicação principal e o serviço de moderação de conteúdos.</w:t>
      </w:r>
    </w:p>
    <w:p w14:paraId="37223E03" w14:textId="77777777" w:rsidR="00530322" w:rsidRPr="007F0B5C" w:rsidRDefault="00000000">
      <w:pPr>
        <w:pStyle w:val="Heading1"/>
        <w:pBdr>
          <w:bottom w:val="single" w:sz="8" w:space="4" w:color="B8860B"/>
        </w:pBdr>
        <w:spacing w:before="400" w:after="200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b/>
          <w:bCs/>
          <w:color w:val="000000" w:themeColor="text1"/>
          <w:sz w:val="24"/>
          <w:szCs w:val="24"/>
          <w:lang w:val="pt-PT"/>
        </w:rPr>
        <w:t>2. Visão Arquitetural em Camadas</w:t>
      </w:r>
    </w:p>
    <w:p w14:paraId="37B1CD76" w14:textId="77777777" w:rsidR="00530322" w:rsidRPr="007F0B5C" w:rsidRDefault="00000000">
      <w:pPr>
        <w:spacing w:after="160" w:line="276" w:lineRule="auto"/>
        <w:jc w:val="both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>A arquitetura segue um modelo em camadas, com uma aplicação Laravel como núcleo, apoiada por uma fila de processamento assíncrono e por um serviço externo dedicado à moderação de ficheiros carregados pelos utilizadores.</w:t>
      </w:r>
    </w:p>
    <w:p w14:paraId="3B23EF93" w14:textId="77777777" w:rsidR="00530322" w:rsidRPr="007F0B5C" w:rsidRDefault="00000000">
      <w:pPr>
        <w:spacing w:before="200" w:after="200"/>
        <w:jc w:val="center"/>
        <w:rPr>
          <w:rFonts w:ascii="Gotham" w:hAnsi="Gotham"/>
          <w:color w:val="000000" w:themeColor="text1"/>
          <w:sz w:val="24"/>
          <w:szCs w:val="24"/>
        </w:rPr>
      </w:pPr>
      <w:r w:rsidRPr="007F0B5C">
        <w:rPr>
          <w:rFonts w:ascii="Gotham" w:hAnsi="Gotham"/>
          <w:noProof/>
          <w:color w:val="000000" w:themeColor="text1"/>
          <w:sz w:val="24"/>
          <w:szCs w:val="24"/>
        </w:rPr>
        <w:drawing>
          <wp:inline distT="0" distB="0" distL="0" distR="0" wp14:anchorId="5AC702F3" wp14:editId="1FC9126D">
            <wp:extent cx="6096000" cy="4457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AADB8" w14:textId="77777777" w:rsidR="00530322" w:rsidRPr="007F0B5C" w:rsidRDefault="00000000">
      <w:pPr>
        <w:spacing w:after="300"/>
        <w:jc w:val="center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i/>
          <w:iCs/>
          <w:color w:val="000000" w:themeColor="text1"/>
          <w:sz w:val="24"/>
          <w:szCs w:val="24"/>
          <w:lang w:val="pt-PT"/>
        </w:rPr>
        <w:t>Figura 1 — Arquitetura técnica em camadas da plataforma.</w:t>
      </w:r>
    </w:p>
    <w:p w14:paraId="6AD76B72" w14:textId="77777777" w:rsidR="00530322" w:rsidRPr="007F0B5C" w:rsidRDefault="00000000" w:rsidP="007F0B5C">
      <w:pPr>
        <w:pStyle w:val="Heading2"/>
        <w:spacing w:before="300" w:after="15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b/>
          <w:bCs/>
          <w:color w:val="000000" w:themeColor="text1"/>
          <w:sz w:val="24"/>
          <w:szCs w:val="24"/>
          <w:lang w:val="pt-PT"/>
        </w:rPr>
        <w:lastRenderedPageBreak/>
        <w:t>2.1 Camada de Apresentação</w:t>
      </w:r>
    </w:p>
    <w:p w14:paraId="6541DB24" w14:textId="77777777" w:rsidR="00530322" w:rsidRPr="007F0B5C" w:rsidRDefault="00000000" w:rsidP="007F0B5C">
      <w:pPr>
        <w:spacing w:after="160" w:line="360" w:lineRule="auto"/>
        <w:jc w:val="both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>Implementada com Blade e Livewire, responsável pelas interfaces web de leitores, vendedores, bibliotecas, autores e editoras. O painel administrativo e o dashboard de moderação são implementados separadamente em React, por exigirem maior interatividade e visualização de dados.</w:t>
      </w:r>
    </w:p>
    <w:p w14:paraId="2A80CF1E" w14:textId="77777777" w:rsidR="00530322" w:rsidRPr="007F0B5C" w:rsidRDefault="00000000" w:rsidP="007F0B5C">
      <w:pPr>
        <w:pStyle w:val="Heading2"/>
        <w:spacing w:before="300" w:after="15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b/>
          <w:bCs/>
          <w:color w:val="000000" w:themeColor="text1"/>
          <w:sz w:val="24"/>
          <w:szCs w:val="24"/>
          <w:lang w:val="pt-PT"/>
        </w:rPr>
        <w:t>2.2 Camada de Gateway / Middleware</w:t>
      </w:r>
    </w:p>
    <w:p w14:paraId="2A967FFA" w14:textId="77777777" w:rsidR="00530322" w:rsidRPr="007F0B5C" w:rsidRDefault="00000000" w:rsidP="007F0B5C">
      <w:pPr>
        <w:spacing w:after="160" w:line="360" w:lineRule="auto"/>
        <w:jc w:val="both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>Responsável por autenticação (Laravel Sanctum), limitação de taxa de pedidos (rate-limiting), aplicação de políticas de autorização (Policies) por tipo de utilizador, e validação de entrada em todos os pontos de contacto com o sistema.</w:t>
      </w:r>
    </w:p>
    <w:p w14:paraId="6AB857A2" w14:textId="77777777" w:rsidR="00530322" w:rsidRPr="007F0B5C" w:rsidRDefault="00000000" w:rsidP="007F0B5C">
      <w:pPr>
        <w:pStyle w:val="Heading2"/>
        <w:spacing w:before="300" w:after="15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b/>
          <w:bCs/>
          <w:color w:val="000000" w:themeColor="text1"/>
          <w:sz w:val="24"/>
          <w:szCs w:val="24"/>
          <w:lang w:val="pt-PT"/>
        </w:rPr>
        <w:t>2.3 Camada de Serviços de Domínio</w:t>
      </w:r>
    </w:p>
    <w:p w14:paraId="3D06DC6F" w14:textId="77777777" w:rsidR="00530322" w:rsidRPr="007F0B5C" w:rsidRDefault="00000000" w:rsidP="007F0B5C">
      <w:pPr>
        <w:spacing w:after="160" w:line="360" w:lineRule="auto"/>
        <w:jc w:val="both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>Organizada em módulos que espelham os domínios de negócio identificados na Especificação de Requisitos: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530322" w:rsidRPr="007F0B5C" w14:paraId="6A1916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36E75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7F0B5C">
              <w:rPr>
                <w:rFonts w:ascii="Gotham" w:hAnsi="Gotham"/>
                <w:b/>
                <w:bCs/>
                <w:color w:val="000000" w:themeColor="text1"/>
                <w:sz w:val="24"/>
                <w:szCs w:val="24"/>
              </w:rPr>
              <w:t>Módulo</w:t>
            </w:r>
            <w:proofErr w:type="spellEnd"/>
          </w:p>
        </w:tc>
        <w:tc>
          <w:tcPr>
            <w:tcW w:w="66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15A10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7F0B5C">
              <w:rPr>
                <w:rFonts w:ascii="Gotham" w:hAnsi="Gotham"/>
                <w:b/>
                <w:bCs/>
                <w:color w:val="000000" w:themeColor="text1"/>
                <w:sz w:val="24"/>
                <w:szCs w:val="24"/>
              </w:rPr>
              <w:t>Responsabilidade</w:t>
            </w:r>
            <w:proofErr w:type="spellEnd"/>
          </w:p>
        </w:tc>
      </w:tr>
      <w:tr w:rsidR="00530322" w:rsidRPr="007F0B5C" w14:paraId="31A299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876587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7F0B5C">
              <w:rPr>
                <w:rFonts w:ascii="Gotham" w:hAnsi="Gotham"/>
                <w:color w:val="000000" w:themeColor="text1"/>
                <w:sz w:val="24"/>
                <w:szCs w:val="24"/>
              </w:rPr>
              <w:t>Utilizadores</w:t>
            </w:r>
            <w:proofErr w:type="spellEnd"/>
            <w:r w:rsidRPr="007F0B5C">
              <w:rPr>
                <w:rFonts w:ascii="Gotham" w:hAnsi="Gotham"/>
                <w:color w:val="000000" w:themeColor="text1"/>
                <w:sz w:val="24"/>
                <w:szCs w:val="24"/>
              </w:rPr>
              <w:t xml:space="preserve"> &amp; </w:t>
            </w:r>
            <w:proofErr w:type="spellStart"/>
            <w:r w:rsidRPr="007F0B5C">
              <w:rPr>
                <w:rFonts w:ascii="Gotham" w:hAnsi="Gotham"/>
                <w:color w:val="000000" w:themeColor="text1"/>
                <w:sz w:val="24"/>
                <w:szCs w:val="24"/>
              </w:rPr>
              <w:t>Perfis</w:t>
            </w:r>
            <w:proofErr w:type="spellEnd"/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4EC9DA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7F0B5C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Registo, autenticação, perfis por tipo de conta, reputação</w:t>
            </w:r>
          </w:p>
        </w:tc>
      </w:tr>
      <w:tr w:rsidR="00530322" w:rsidRPr="007F0B5C" w14:paraId="36CE60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7B186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7F0B5C">
              <w:rPr>
                <w:rFonts w:ascii="Gotham" w:hAnsi="Gotham"/>
                <w:color w:val="000000" w:themeColor="text1"/>
                <w:sz w:val="24"/>
                <w:szCs w:val="24"/>
              </w:rPr>
              <w:t>Catálogo</w:t>
            </w:r>
            <w:proofErr w:type="spellEnd"/>
            <w:r w:rsidRPr="007F0B5C">
              <w:rPr>
                <w:rFonts w:ascii="Gotham" w:hAnsi="Gotham"/>
                <w:color w:val="000000" w:themeColor="text1"/>
                <w:sz w:val="24"/>
                <w:szCs w:val="24"/>
              </w:rPr>
              <w:t xml:space="preserve"> de </w:t>
            </w:r>
            <w:proofErr w:type="spellStart"/>
            <w:r w:rsidRPr="007F0B5C">
              <w:rPr>
                <w:rFonts w:ascii="Gotham" w:hAnsi="Gotham"/>
                <w:color w:val="000000" w:themeColor="text1"/>
                <w:sz w:val="24"/>
                <w:szCs w:val="24"/>
              </w:rPr>
              <w:t>Livros</w:t>
            </w:r>
            <w:proofErr w:type="spellEnd"/>
          </w:p>
        </w:tc>
        <w:tc>
          <w:tcPr>
            <w:tcW w:w="66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6243C3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7F0B5C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Cadastro, edição, categorização e busca de livros</w:t>
            </w:r>
          </w:p>
        </w:tc>
      </w:tr>
      <w:tr w:rsidR="00530322" w:rsidRPr="007F0B5C" w14:paraId="64B5F3D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62F946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7F0B5C">
              <w:rPr>
                <w:rFonts w:ascii="Gotham" w:hAnsi="Gotham"/>
                <w:color w:val="000000" w:themeColor="text1"/>
                <w:sz w:val="24"/>
                <w:szCs w:val="24"/>
              </w:rPr>
              <w:t>Verificação</w:t>
            </w:r>
            <w:proofErr w:type="spellEnd"/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1C381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7F0B5C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Fluxo de aprovação de bibliotecas e de livros premium</w:t>
            </w:r>
          </w:p>
        </w:tc>
      </w:tr>
      <w:tr w:rsidR="00530322" w:rsidRPr="007F0B5C" w14:paraId="149967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97AD8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7F0B5C">
              <w:rPr>
                <w:rFonts w:ascii="Gotham" w:hAnsi="Gotham"/>
                <w:color w:val="000000" w:themeColor="text1"/>
                <w:sz w:val="24"/>
                <w:szCs w:val="24"/>
              </w:rPr>
              <w:t>Reservas</w:t>
            </w:r>
            <w:proofErr w:type="spellEnd"/>
            <w:r w:rsidRPr="007F0B5C">
              <w:rPr>
                <w:rFonts w:ascii="Gotham" w:hAnsi="Gotham"/>
                <w:color w:val="000000" w:themeColor="text1"/>
                <w:sz w:val="24"/>
                <w:szCs w:val="24"/>
              </w:rPr>
              <w:t xml:space="preserve"> &amp; </w:t>
            </w:r>
            <w:proofErr w:type="spellStart"/>
            <w:r w:rsidRPr="007F0B5C">
              <w:rPr>
                <w:rFonts w:ascii="Gotham" w:hAnsi="Gotham"/>
                <w:color w:val="000000" w:themeColor="text1"/>
                <w:sz w:val="24"/>
                <w:szCs w:val="24"/>
              </w:rPr>
              <w:t>Empréstimos</w:t>
            </w:r>
            <w:proofErr w:type="spellEnd"/>
          </w:p>
        </w:tc>
        <w:tc>
          <w:tcPr>
            <w:tcW w:w="66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A793A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7F0B5C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Regras de disponibilidade, prazos, renovações, multas e caução</w:t>
            </w:r>
          </w:p>
        </w:tc>
      </w:tr>
      <w:tr w:rsidR="00530322" w:rsidRPr="007F0B5C" w14:paraId="5F7532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3228D4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7F0B5C">
              <w:rPr>
                <w:rFonts w:ascii="Gotham" w:hAnsi="Gotham"/>
                <w:color w:val="000000" w:themeColor="text1"/>
                <w:sz w:val="24"/>
                <w:szCs w:val="24"/>
              </w:rPr>
              <w:t>Pagamentos</w:t>
            </w:r>
            <w:proofErr w:type="spellEnd"/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538EA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7F0B5C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Integração M-Pesa/e-Mola, retenção e liberação de valores</w:t>
            </w:r>
          </w:p>
        </w:tc>
      </w:tr>
      <w:tr w:rsidR="00530322" w:rsidRPr="007F0B5C" w14:paraId="31C5E46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0E6D79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7F0B5C">
              <w:rPr>
                <w:rFonts w:ascii="Gotham" w:hAnsi="Gotham"/>
                <w:color w:val="000000" w:themeColor="text1"/>
                <w:sz w:val="24"/>
                <w:szCs w:val="24"/>
              </w:rPr>
              <w:t>Avaliações</w:t>
            </w:r>
            <w:proofErr w:type="spellEnd"/>
            <w:r w:rsidRPr="007F0B5C">
              <w:rPr>
                <w:rFonts w:ascii="Gotham" w:hAnsi="Gotham"/>
                <w:color w:val="000000" w:themeColor="text1"/>
                <w:sz w:val="24"/>
                <w:szCs w:val="24"/>
              </w:rPr>
              <w:t xml:space="preserve"> &amp; </w:t>
            </w:r>
            <w:proofErr w:type="spellStart"/>
            <w:r w:rsidRPr="007F0B5C">
              <w:rPr>
                <w:rFonts w:ascii="Gotham" w:hAnsi="Gotham"/>
                <w:color w:val="000000" w:themeColor="text1"/>
                <w:sz w:val="24"/>
                <w:szCs w:val="24"/>
              </w:rPr>
              <w:t>Denúncias</w:t>
            </w:r>
            <w:proofErr w:type="spellEnd"/>
          </w:p>
        </w:tc>
        <w:tc>
          <w:tcPr>
            <w:tcW w:w="66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8A96BE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7F0B5C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Registo de avaliações e encaminhamento de denúncias</w:t>
            </w:r>
          </w:p>
        </w:tc>
      </w:tr>
      <w:tr w:rsidR="00530322" w:rsidRPr="007F0B5C" w14:paraId="392BBCD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8BE35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7F0B5C">
              <w:rPr>
                <w:rFonts w:ascii="Gotham" w:hAnsi="Gotham"/>
                <w:color w:val="000000" w:themeColor="text1"/>
                <w:sz w:val="24"/>
                <w:szCs w:val="24"/>
              </w:rPr>
              <w:t>Notificações</w:t>
            </w:r>
            <w:proofErr w:type="spellEnd"/>
          </w:p>
        </w:tc>
        <w:tc>
          <w:tcPr>
            <w:tcW w:w="6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5A8DC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7F0B5C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Lembretes de prazo, confirmações e alertas administrativos</w:t>
            </w:r>
          </w:p>
        </w:tc>
      </w:tr>
    </w:tbl>
    <w:p w14:paraId="5DF8516E" w14:textId="77777777" w:rsidR="00530322" w:rsidRPr="007F0B5C" w:rsidRDefault="00000000" w:rsidP="007F0B5C">
      <w:pPr>
        <w:pStyle w:val="Heading2"/>
        <w:spacing w:before="300" w:after="15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b/>
          <w:bCs/>
          <w:color w:val="000000" w:themeColor="text1"/>
          <w:sz w:val="24"/>
          <w:szCs w:val="24"/>
          <w:lang w:val="pt-PT"/>
        </w:rPr>
        <w:t>2.4 Fila de Processamento Assíncrono</w:t>
      </w:r>
    </w:p>
    <w:p w14:paraId="1A58D430" w14:textId="77777777" w:rsidR="00530322" w:rsidRPr="007F0B5C" w:rsidRDefault="00000000" w:rsidP="007F0B5C">
      <w:pPr>
        <w:spacing w:after="160" w:line="360" w:lineRule="auto"/>
        <w:jc w:val="both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 xml:space="preserve">Operações que não precisam de resposta imediata ao utilizador — como confirmação de pagamento, envio de lembretes de devolução, ou verificação </w:t>
      </w: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lastRenderedPageBreak/>
        <w:t>automática de ficheiros — são delegadas a filas geridas por Laravel Horizon sobre Redis. Isto evita bloquear a resposta HTTP e melhora a resiliência perante falhas temporárias de serviços externos (ex: gateway de pagamento indisponível).</w:t>
      </w:r>
    </w:p>
    <w:p w14:paraId="5CD0E624" w14:textId="77777777" w:rsidR="00530322" w:rsidRPr="007F0B5C" w:rsidRDefault="00000000" w:rsidP="007F0B5C">
      <w:pPr>
        <w:pStyle w:val="Heading2"/>
        <w:spacing w:before="300" w:after="150" w:line="360" w:lineRule="auto"/>
        <w:rPr>
          <w:rFonts w:ascii="Gotham" w:hAnsi="Gotham"/>
          <w:color w:val="000000" w:themeColor="text1"/>
          <w:sz w:val="24"/>
          <w:szCs w:val="24"/>
        </w:rPr>
      </w:pPr>
      <w:r w:rsidRPr="007F0B5C">
        <w:rPr>
          <w:rFonts w:ascii="Gotham" w:hAnsi="Gotham"/>
          <w:b/>
          <w:bCs/>
          <w:color w:val="000000" w:themeColor="text1"/>
          <w:sz w:val="24"/>
          <w:szCs w:val="24"/>
        </w:rPr>
        <w:t xml:space="preserve">2.5 </w:t>
      </w:r>
      <w:proofErr w:type="spellStart"/>
      <w:r w:rsidRPr="007F0B5C">
        <w:rPr>
          <w:rFonts w:ascii="Gotham" w:hAnsi="Gotham"/>
          <w:b/>
          <w:bCs/>
          <w:color w:val="000000" w:themeColor="text1"/>
          <w:sz w:val="24"/>
          <w:szCs w:val="24"/>
        </w:rPr>
        <w:t>Persistência</w:t>
      </w:r>
      <w:proofErr w:type="spellEnd"/>
      <w:r w:rsidRPr="007F0B5C">
        <w:rPr>
          <w:rFonts w:ascii="Gotham" w:hAnsi="Gotham"/>
          <w:b/>
          <w:bCs/>
          <w:color w:val="000000" w:themeColor="text1"/>
          <w:sz w:val="24"/>
          <w:szCs w:val="24"/>
        </w:rPr>
        <w:t xml:space="preserve"> e </w:t>
      </w:r>
      <w:proofErr w:type="spellStart"/>
      <w:r w:rsidRPr="007F0B5C">
        <w:rPr>
          <w:rFonts w:ascii="Gotham" w:hAnsi="Gotham"/>
          <w:b/>
          <w:bCs/>
          <w:color w:val="000000" w:themeColor="text1"/>
          <w:sz w:val="24"/>
          <w:szCs w:val="24"/>
        </w:rPr>
        <w:t>Armazenamento</w:t>
      </w:r>
      <w:proofErr w:type="spellEnd"/>
    </w:p>
    <w:p w14:paraId="5519CF77" w14:textId="77777777" w:rsidR="00530322" w:rsidRPr="007F0B5C" w:rsidRDefault="00000000" w:rsidP="007F0B5C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b/>
          <w:bCs/>
          <w:color w:val="000000" w:themeColor="text1"/>
          <w:sz w:val="24"/>
          <w:szCs w:val="24"/>
          <w:lang w:val="pt-PT"/>
        </w:rPr>
        <w:t xml:space="preserve">Base de dados relacional (MySQL/MariaDB): </w:t>
      </w: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>armazena entidades transacionais — utilizadores, livros, reservas, empréstimos, pagamentos, avaliações.</w:t>
      </w:r>
    </w:p>
    <w:p w14:paraId="5A38E0A5" w14:textId="77777777" w:rsidR="00530322" w:rsidRPr="007F0B5C" w:rsidRDefault="00000000" w:rsidP="007F0B5C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b/>
          <w:bCs/>
          <w:color w:val="000000" w:themeColor="text1"/>
          <w:sz w:val="24"/>
          <w:szCs w:val="24"/>
          <w:lang w:val="pt-PT"/>
        </w:rPr>
        <w:t xml:space="preserve">Cache (Redis): </w:t>
      </w: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>sessões, resultados de busca frequentes e filas de jobs.</w:t>
      </w:r>
    </w:p>
    <w:p w14:paraId="530F00AB" w14:textId="77777777" w:rsidR="00530322" w:rsidRPr="007F0B5C" w:rsidRDefault="00000000" w:rsidP="007F0B5C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b/>
          <w:bCs/>
          <w:color w:val="000000" w:themeColor="text1"/>
          <w:sz w:val="24"/>
          <w:szCs w:val="24"/>
          <w:lang w:val="pt-PT"/>
        </w:rPr>
        <w:t xml:space="preserve">Armazenamento de ficheiros: </w:t>
      </w: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>capas, PDFs, comprovativos de pagamento e documentos de verificação, em armazenamento local ou compatível com S3.</w:t>
      </w:r>
    </w:p>
    <w:p w14:paraId="01997B17" w14:textId="77777777" w:rsidR="00530322" w:rsidRPr="007F0B5C" w:rsidRDefault="00000000" w:rsidP="007F0B5C">
      <w:pPr>
        <w:pStyle w:val="Heading2"/>
        <w:spacing w:before="300" w:after="15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b/>
          <w:bCs/>
          <w:color w:val="000000" w:themeColor="text1"/>
          <w:sz w:val="24"/>
          <w:szCs w:val="24"/>
          <w:lang w:val="pt-PT"/>
        </w:rPr>
        <w:t>2.6 Serviço Independente de Moderação</w:t>
      </w:r>
    </w:p>
    <w:p w14:paraId="7813C219" w14:textId="77777777" w:rsidR="00530322" w:rsidRPr="007F0B5C" w:rsidRDefault="00000000" w:rsidP="007F0B5C">
      <w:pPr>
        <w:spacing w:after="160" w:line="360" w:lineRule="auto"/>
        <w:jc w:val="both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>Para evitar acoplar a lógica de negócio principal à validação de conteúdos, a moderação de ficheiros (capas, PDFs, documentos de verificação) é tratada por um serviço independente, com o seu próprio dashboard em React. Este serviço aplica validação de tipo MIME, comparação de hash SHA-256 contra listas de bloqueio, e filtragem por palavras-chave, comunicando o resultado de volta à aplicação principal.</w:t>
      </w:r>
    </w:p>
    <w:p w14:paraId="290A2163" w14:textId="77777777" w:rsidR="00530322" w:rsidRPr="007F0B5C" w:rsidRDefault="00000000" w:rsidP="007F0B5C">
      <w:pPr>
        <w:spacing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br w:type="page"/>
      </w:r>
    </w:p>
    <w:p w14:paraId="04AF8BFD" w14:textId="77777777" w:rsidR="00530322" w:rsidRPr="007F0B5C" w:rsidRDefault="00000000" w:rsidP="007F0B5C">
      <w:pPr>
        <w:pStyle w:val="Heading1"/>
        <w:pBdr>
          <w:bottom w:val="single" w:sz="8" w:space="4" w:color="B8860B"/>
        </w:pBdr>
        <w:spacing w:before="400" w:after="20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b/>
          <w:bCs/>
          <w:color w:val="000000" w:themeColor="text1"/>
          <w:sz w:val="24"/>
          <w:szCs w:val="24"/>
          <w:lang w:val="pt-PT"/>
        </w:rPr>
        <w:lastRenderedPageBreak/>
        <w:t>3. Modelo de Dados</w:t>
      </w:r>
    </w:p>
    <w:p w14:paraId="5D9A2527" w14:textId="77777777" w:rsidR="00530322" w:rsidRPr="007F0B5C" w:rsidRDefault="00000000" w:rsidP="007F0B5C">
      <w:pPr>
        <w:spacing w:after="160" w:line="360" w:lineRule="auto"/>
        <w:jc w:val="both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>O diagrama seguinte apresenta as entidades centrais do sistema e as suas relações principais. Chaves estrangeiras (FK) indicam a entidade da qual cada registo depende.</w:t>
      </w:r>
    </w:p>
    <w:p w14:paraId="7D902481" w14:textId="77777777" w:rsidR="00530322" w:rsidRPr="007F0B5C" w:rsidRDefault="00000000" w:rsidP="007F0B5C">
      <w:pPr>
        <w:spacing w:before="200" w:after="200" w:line="360" w:lineRule="auto"/>
        <w:jc w:val="center"/>
        <w:rPr>
          <w:rFonts w:ascii="Gotham" w:hAnsi="Gotham"/>
          <w:color w:val="000000" w:themeColor="text1"/>
          <w:sz w:val="24"/>
          <w:szCs w:val="24"/>
        </w:rPr>
      </w:pPr>
      <w:r w:rsidRPr="007F0B5C">
        <w:rPr>
          <w:rFonts w:ascii="Gotham" w:hAnsi="Gotham"/>
          <w:noProof/>
          <w:color w:val="000000" w:themeColor="text1"/>
          <w:sz w:val="24"/>
          <w:szCs w:val="24"/>
        </w:rPr>
        <w:drawing>
          <wp:inline distT="0" distB="0" distL="0" distR="0" wp14:anchorId="7FD49385" wp14:editId="192C50CD">
            <wp:extent cx="6096000" cy="3771900"/>
            <wp:effectExtent l="0" t="0" r="0" b="0"/>
            <wp:docPr id="1683048113" name="Picture 1683048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552D0" w14:textId="77777777" w:rsidR="00530322" w:rsidRPr="007F0B5C" w:rsidRDefault="00000000" w:rsidP="007F0B5C">
      <w:pPr>
        <w:spacing w:after="300" w:line="360" w:lineRule="auto"/>
        <w:jc w:val="center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i/>
          <w:iCs/>
          <w:color w:val="000000" w:themeColor="text1"/>
          <w:sz w:val="24"/>
          <w:szCs w:val="24"/>
          <w:lang w:val="pt-PT"/>
        </w:rPr>
        <w:t>Figura 2 — Modelo de dados simplificado.</w:t>
      </w:r>
    </w:p>
    <w:p w14:paraId="1BD6C969" w14:textId="77777777" w:rsidR="00530322" w:rsidRPr="007F0B5C" w:rsidRDefault="00000000" w:rsidP="007F0B5C">
      <w:pPr>
        <w:pStyle w:val="Heading2"/>
        <w:spacing w:before="300" w:after="150" w:line="360" w:lineRule="auto"/>
        <w:rPr>
          <w:rFonts w:ascii="Gotham" w:hAnsi="Gotham"/>
          <w:color w:val="000000" w:themeColor="text1"/>
          <w:sz w:val="24"/>
          <w:szCs w:val="24"/>
        </w:rPr>
      </w:pPr>
      <w:r w:rsidRPr="007F0B5C">
        <w:rPr>
          <w:rFonts w:ascii="Gotham" w:hAnsi="Gotham"/>
          <w:b/>
          <w:bCs/>
          <w:color w:val="000000" w:themeColor="text1"/>
          <w:sz w:val="24"/>
          <w:szCs w:val="24"/>
        </w:rPr>
        <w:t xml:space="preserve">3.1 </w:t>
      </w:r>
      <w:proofErr w:type="spellStart"/>
      <w:r w:rsidRPr="007F0B5C">
        <w:rPr>
          <w:rFonts w:ascii="Gotham" w:hAnsi="Gotham"/>
          <w:b/>
          <w:bCs/>
          <w:color w:val="000000" w:themeColor="text1"/>
          <w:sz w:val="24"/>
          <w:szCs w:val="24"/>
        </w:rPr>
        <w:t>Entidades</w:t>
      </w:r>
      <w:proofErr w:type="spellEnd"/>
      <w:r w:rsidRPr="007F0B5C">
        <w:rPr>
          <w:rFonts w:ascii="Gotham" w:hAnsi="Gotham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7F0B5C">
        <w:rPr>
          <w:rFonts w:ascii="Gotham" w:hAnsi="Gotham"/>
          <w:b/>
          <w:bCs/>
          <w:color w:val="000000" w:themeColor="text1"/>
          <w:sz w:val="24"/>
          <w:szCs w:val="24"/>
        </w:rPr>
        <w:t>Principais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00"/>
      </w:tblGrid>
      <w:tr w:rsidR="00530322" w:rsidRPr="007F0B5C" w14:paraId="7173B0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F97E70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7F0B5C">
              <w:rPr>
                <w:rFonts w:ascii="Gotham" w:hAnsi="Gotham"/>
                <w:b/>
                <w:bCs/>
                <w:color w:val="000000" w:themeColor="text1"/>
                <w:sz w:val="24"/>
                <w:szCs w:val="24"/>
              </w:rPr>
              <w:t>Entidade</w:t>
            </w:r>
            <w:proofErr w:type="spellEnd"/>
          </w:p>
        </w:tc>
        <w:tc>
          <w:tcPr>
            <w:tcW w:w="68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74587F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7F0B5C">
              <w:rPr>
                <w:rFonts w:ascii="Gotham" w:hAnsi="Gotham"/>
                <w:b/>
                <w:bCs/>
                <w:color w:val="000000" w:themeColor="text1"/>
                <w:sz w:val="24"/>
                <w:szCs w:val="24"/>
              </w:rPr>
              <w:t>Descrição</w:t>
            </w:r>
            <w:proofErr w:type="spellEnd"/>
            <w:r w:rsidRPr="007F0B5C">
              <w:rPr>
                <w:rFonts w:ascii="Gotham" w:hAnsi="Gotham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7F0B5C">
              <w:rPr>
                <w:rFonts w:ascii="Gotham" w:hAnsi="Gotham"/>
                <w:b/>
                <w:bCs/>
                <w:color w:val="000000" w:themeColor="text1"/>
                <w:sz w:val="24"/>
                <w:szCs w:val="24"/>
              </w:rPr>
              <w:t>resumida</w:t>
            </w:r>
            <w:proofErr w:type="spellEnd"/>
          </w:p>
        </w:tc>
      </w:tr>
      <w:tr w:rsidR="00530322" w:rsidRPr="007F0B5C" w14:paraId="4A5ACCE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2C544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7F0B5C">
              <w:rPr>
                <w:rFonts w:ascii="Gotham" w:hAnsi="Gotham"/>
                <w:color w:val="000000" w:themeColor="text1"/>
                <w:sz w:val="24"/>
                <w:szCs w:val="24"/>
              </w:rPr>
              <w:t>Utilizador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6B2EB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7F0B5C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Conta base, com tipo definindo o perfil (leitor, vendedor, biblioteca, autor, editora, admin)</w:t>
            </w:r>
          </w:p>
        </w:tc>
      </w:tr>
      <w:tr w:rsidR="00530322" w:rsidRPr="007F0B5C" w14:paraId="0C1103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339C5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7F0B5C">
              <w:rPr>
                <w:rFonts w:ascii="Gotham" w:hAnsi="Gotham"/>
                <w:color w:val="000000" w:themeColor="text1"/>
                <w:sz w:val="24"/>
                <w:szCs w:val="24"/>
              </w:rPr>
              <w:t>Livro</w:t>
            </w:r>
            <w:proofErr w:type="spellEnd"/>
          </w:p>
        </w:tc>
        <w:tc>
          <w:tcPr>
            <w:tcW w:w="68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C0679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7F0B5C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Catálogo central; referencia o dono (utilizador ou biblioteca) e o tipo (físico/digital, gratuito/premium)</w:t>
            </w:r>
          </w:p>
        </w:tc>
      </w:tr>
      <w:tr w:rsidR="00530322" w:rsidRPr="007F0B5C" w14:paraId="68FA54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C06ADF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r w:rsidRPr="007F0B5C">
              <w:rPr>
                <w:rFonts w:ascii="Gotham" w:hAnsi="Gotham"/>
                <w:color w:val="000000" w:themeColor="text1"/>
                <w:sz w:val="24"/>
                <w:szCs w:val="24"/>
              </w:rPr>
              <w:t>Biblioteca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09BEC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7F0B5C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Extensão de Utilizador com dados institucionais e estado de verificação</w:t>
            </w:r>
          </w:p>
        </w:tc>
      </w:tr>
      <w:tr w:rsidR="00530322" w:rsidRPr="007F0B5C" w14:paraId="64064E3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9A9CB0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7F0B5C">
              <w:rPr>
                <w:rFonts w:ascii="Gotham" w:hAnsi="Gotham"/>
                <w:color w:val="000000" w:themeColor="text1"/>
                <w:sz w:val="24"/>
                <w:szCs w:val="24"/>
              </w:rPr>
              <w:t>Reserva</w:t>
            </w:r>
            <w:proofErr w:type="spellEnd"/>
          </w:p>
        </w:tc>
        <w:tc>
          <w:tcPr>
            <w:tcW w:w="68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9E9AC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7F0B5C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Associa um livro a um utilizador por um período limitado, antes da confirmação de compra ou retirada</w:t>
            </w:r>
          </w:p>
        </w:tc>
      </w:tr>
      <w:tr w:rsidR="00530322" w:rsidRPr="007F0B5C" w14:paraId="4057B6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4636F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7F0B5C">
              <w:rPr>
                <w:rFonts w:ascii="Gotham" w:hAnsi="Gotham"/>
                <w:color w:val="000000" w:themeColor="text1"/>
                <w:sz w:val="24"/>
                <w:szCs w:val="24"/>
              </w:rPr>
              <w:lastRenderedPageBreak/>
              <w:t>Empréstimo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77B09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7F0B5C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Regista o ciclo completo de retirada e devolução de um livro físico junto de uma biblioteca</w:t>
            </w:r>
          </w:p>
        </w:tc>
      </w:tr>
      <w:tr w:rsidR="00530322" w:rsidRPr="007F0B5C" w14:paraId="67878F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B695E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7F0B5C">
              <w:rPr>
                <w:rFonts w:ascii="Gotham" w:hAnsi="Gotham"/>
                <w:color w:val="000000" w:themeColor="text1"/>
                <w:sz w:val="24"/>
                <w:szCs w:val="24"/>
              </w:rPr>
              <w:t>Pagamento</w:t>
            </w:r>
            <w:proofErr w:type="spellEnd"/>
          </w:p>
        </w:tc>
        <w:tc>
          <w:tcPr>
            <w:tcW w:w="68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630B5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7F0B5C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Regista transações associadas a compras, reservas com taxa, ou destaques</w:t>
            </w:r>
          </w:p>
        </w:tc>
      </w:tr>
      <w:tr w:rsidR="00530322" w:rsidRPr="007F0B5C" w14:paraId="4EE73C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4BC02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7F0B5C">
              <w:rPr>
                <w:rFonts w:ascii="Gotham" w:hAnsi="Gotham"/>
                <w:color w:val="000000" w:themeColor="text1"/>
                <w:sz w:val="24"/>
                <w:szCs w:val="24"/>
              </w:rPr>
              <w:t>Avaliação</w:t>
            </w:r>
            <w:proofErr w:type="spellEnd"/>
            <w:r w:rsidRPr="007F0B5C">
              <w:rPr>
                <w:rFonts w:ascii="Gotham" w:hAnsi="Gotham"/>
                <w:color w:val="000000" w:themeColor="text1"/>
                <w:sz w:val="24"/>
                <w:szCs w:val="24"/>
              </w:rPr>
              <w:t>/</w:t>
            </w:r>
            <w:proofErr w:type="spellStart"/>
            <w:r w:rsidRPr="007F0B5C">
              <w:rPr>
                <w:rFonts w:ascii="Gotham" w:hAnsi="Gotham"/>
                <w:color w:val="000000" w:themeColor="text1"/>
                <w:sz w:val="24"/>
                <w:szCs w:val="24"/>
              </w:rPr>
              <w:t>Denúncia</w:t>
            </w:r>
            <w:proofErr w:type="spellEnd"/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CD8155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7F0B5C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Regista feedback ou denúncias sobre livros, bibliotecas, vendedores, autores ou editoras</w:t>
            </w:r>
          </w:p>
        </w:tc>
      </w:tr>
    </w:tbl>
    <w:p w14:paraId="18170A2F" w14:textId="77777777" w:rsidR="00530322" w:rsidRPr="007F0B5C" w:rsidRDefault="00000000" w:rsidP="007F0B5C">
      <w:pPr>
        <w:pStyle w:val="Heading1"/>
        <w:pBdr>
          <w:bottom w:val="single" w:sz="8" w:space="4" w:color="B8860B"/>
        </w:pBdr>
        <w:spacing w:before="400" w:after="20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b/>
          <w:bCs/>
          <w:color w:val="000000" w:themeColor="text1"/>
          <w:sz w:val="24"/>
          <w:szCs w:val="24"/>
          <w:lang w:val="pt-PT"/>
        </w:rPr>
        <w:t>4. Fluxo Técnico de Referência — Empréstimo de Livro</w:t>
      </w:r>
    </w:p>
    <w:p w14:paraId="46EE7861" w14:textId="77777777" w:rsidR="00530322" w:rsidRPr="007F0B5C" w:rsidRDefault="00000000" w:rsidP="007F0B5C">
      <w:pPr>
        <w:spacing w:after="160" w:line="360" w:lineRule="auto"/>
        <w:jc w:val="both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>O fluxo abaixo ilustra a interação entre utilizador, aplicação e biblioteca durante um empréstimo, servindo de referência para o desenho dos endpoints e jobs assíncronos envolvidos (ex: job de lembrete de devolução, job de cálculo de multa por atraso).</w:t>
      </w:r>
    </w:p>
    <w:p w14:paraId="458CE9C5" w14:textId="77777777" w:rsidR="00530322" w:rsidRPr="007F0B5C" w:rsidRDefault="00000000" w:rsidP="007F0B5C">
      <w:pPr>
        <w:spacing w:before="200" w:after="200" w:line="360" w:lineRule="auto"/>
        <w:jc w:val="center"/>
        <w:rPr>
          <w:rFonts w:ascii="Gotham" w:hAnsi="Gotham"/>
          <w:color w:val="000000" w:themeColor="text1"/>
          <w:sz w:val="24"/>
          <w:szCs w:val="24"/>
        </w:rPr>
      </w:pPr>
      <w:r w:rsidRPr="007F0B5C">
        <w:rPr>
          <w:rFonts w:ascii="Gotham" w:hAnsi="Gotham"/>
          <w:noProof/>
          <w:color w:val="000000" w:themeColor="text1"/>
          <w:sz w:val="24"/>
          <w:szCs w:val="24"/>
        </w:rPr>
        <w:drawing>
          <wp:inline distT="0" distB="0" distL="0" distR="0" wp14:anchorId="54248923" wp14:editId="18ADD431">
            <wp:extent cx="6096000" cy="3609975"/>
            <wp:effectExtent l="0" t="0" r="0" b="0"/>
            <wp:docPr id="630200589" name="Picture 630200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0FDD0" w14:textId="77777777" w:rsidR="00530322" w:rsidRPr="007F0B5C" w:rsidRDefault="00000000" w:rsidP="007F0B5C">
      <w:pPr>
        <w:spacing w:after="300" w:line="360" w:lineRule="auto"/>
        <w:jc w:val="center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i/>
          <w:iCs/>
          <w:color w:val="000000" w:themeColor="text1"/>
          <w:sz w:val="24"/>
          <w:szCs w:val="24"/>
          <w:lang w:val="pt-PT"/>
        </w:rPr>
        <w:t>Figura 3 — Fluxo técnico de empréstimo, com responsabilidades por camada (utilizador, plataforma, biblioteca).</w:t>
      </w:r>
    </w:p>
    <w:p w14:paraId="3D45E6D6" w14:textId="77777777" w:rsidR="00530322" w:rsidRPr="007F0B5C" w:rsidRDefault="00000000" w:rsidP="007F0B5C">
      <w:pPr>
        <w:spacing w:after="160" w:line="360" w:lineRule="auto"/>
        <w:jc w:val="both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 xml:space="preserve">Do ponto de vista técnico, este fluxo traduz-se em: (1) endpoint de pesquisa de disponibilidade; (2) endpoint de solicitação, que cria um registo de Empréstimo em estado pendente; (3) ação da biblioteca que transita o estado para aprovado </w:t>
      </w: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lastRenderedPageBreak/>
        <w:t>ou rejeitado; (4) job agendado que verifica prazos diariamente e dispara lembretes ou marca o empréstimo como atrasado; (5) endpoint de devolução, que fecha o ciclo e liberta o livro para nova reserva ou empréstimo.</w:t>
      </w:r>
    </w:p>
    <w:p w14:paraId="3DB56427" w14:textId="77777777" w:rsidR="00530322" w:rsidRPr="007F0B5C" w:rsidRDefault="00000000" w:rsidP="007F0B5C">
      <w:pPr>
        <w:pStyle w:val="Heading1"/>
        <w:pBdr>
          <w:bottom w:val="single" w:sz="8" w:space="4" w:color="B8860B"/>
        </w:pBdr>
        <w:spacing w:before="400" w:after="200" w:line="360" w:lineRule="auto"/>
        <w:rPr>
          <w:rFonts w:ascii="Gotham" w:hAnsi="Gotham"/>
          <w:color w:val="000000" w:themeColor="text1"/>
          <w:sz w:val="24"/>
          <w:szCs w:val="24"/>
        </w:rPr>
      </w:pPr>
      <w:r w:rsidRPr="007F0B5C">
        <w:rPr>
          <w:rFonts w:ascii="Gotham" w:hAnsi="Gotham"/>
          <w:b/>
          <w:bCs/>
          <w:color w:val="000000" w:themeColor="text1"/>
          <w:sz w:val="24"/>
          <w:szCs w:val="24"/>
        </w:rPr>
        <w:t xml:space="preserve">5. </w:t>
      </w:r>
      <w:proofErr w:type="spellStart"/>
      <w:r w:rsidRPr="007F0B5C">
        <w:rPr>
          <w:rFonts w:ascii="Gotham" w:hAnsi="Gotham"/>
          <w:b/>
          <w:bCs/>
          <w:color w:val="000000" w:themeColor="text1"/>
          <w:sz w:val="24"/>
          <w:szCs w:val="24"/>
        </w:rPr>
        <w:t>Decisões</w:t>
      </w:r>
      <w:proofErr w:type="spellEnd"/>
      <w:r w:rsidRPr="007F0B5C">
        <w:rPr>
          <w:rFonts w:ascii="Gotham" w:hAnsi="Gotham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7F0B5C">
        <w:rPr>
          <w:rFonts w:ascii="Gotham" w:hAnsi="Gotham"/>
          <w:b/>
          <w:bCs/>
          <w:color w:val="000000" w:themeColor="text1"/>
          <w:sz w:val="24"/>
          <w:szCs w:val="24"/>
        </w:rPr>
        <w:t>Arquiteturais</w:t>
      </w:r>
      <w:proofErr w:type="spellEnd"/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800"/>
      </w:tblGrid>
      <w:tr w:rsidR="00530322" w:rsidRPr="007F0B5C" w14:paraId="544269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FFFC9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7F0B5C">
              <w:rPr>
                <w:rFonts w:ascii="Gotham" w:hAnsi="Gotham"/>
                <w:b/>
                <w:bCs/>
                <w:color w:val="000000" w:themeColor="text1"/>
                <w:sz w:val="24"/>
                <w:szCs w:val="24"/>
              </w:rPr>
              <w:t>Decisão</w:t>
            </w:r>
            <w:proofErr w:type="spellEnd"/>
          </w:p>
        </w:tc>
        <w:tc>
          <w:tcPr>
            <w:tcW w:w="5800" w:type="dxa"/>
            <w:shd w:val="clear" w:color="auto" w:fill="0B1F4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94B722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</w:rPr>
            </w:pPr>
            <w:proofErr w:type="spellStart"/>
            <w:r w:rsidRPr="007F0B5C">
              <w:rPr>
                <w:rFonts w:ascii="Gotham" w:hAnsi="Gotham"/>
                <w:b/>
                <w:bCs/>
                <w:color w:val="000000" w:themeColor="text1"/>
                <w:sz w:val="24"/>
                <w:szCs w:val="24"/>
              </w:rPr>
              <w:t>Justificação</w:t>
            </w:r>
            <w:proofErr w:type="spellEnd"/>
          </w:p>
        </w:tc>
      </w:tr>
      <w:tr w:rsidR="00530322" w:rsidRPr="007F0B5C" w14:paraId="0DDB9BD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D9C8AF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7F0B5C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Laravel como núcleo único da aplicação principal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49A98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7F0B5C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Reduz complexidade operacional face a uma arquitetura de microserviços completa, adequado à fase inicial do projeto</w:t>
            </w:r>
          </w:p>
        </w:tc>
      </w:tr>
      <w:tr w:rsidR="00530322" w:rsidRPr="007F0B5C" w14:paraId="11987A9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5C8FE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7F0B5C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Serviço de moderação separado da aplicação principal</w:t>
            </w:r>
          </w:p>
        </w:tc>
        <w:tc>
          <w:tcPr>
            <w:tcW w:w="58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C7BDC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7F0B5C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Isola a lógica de validação de ficheiros, permitindo evoluir regras de moderação sem tocar no núcleo transacional</w:t>
            </w:r>
          </w:p>
        </w:tc>
      </w:tr>
      <w:tr w:rsidR="00530322" w:rsidRPr="007F0B5C" w14:paraId="090766C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A4D51E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7F0B5C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Processamento assíncrono via filas (Redis/Horizon)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0B1F2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7F0B5C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Evita bloquear pedidos HTTP em operações lentas como confirmação de pagamento ou verificação de ficheiros</w:t>
            </w:r>
          </w:p>
        </w:tc>
      </w:tr>
      <w:tr w:rsidR="00530322" w:rsidRPr="007F0B5C" w14:paraId="28FF7EA0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FEE6A3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7F0B5C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Livewire em vez de SPA completa</w:t>
            </w:r>
          </w:p>
        </w:tc>
        <w:tc>
          <w:tcPr>
            <w:tcW w:w="58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E2EF33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7F0B5C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Reduz a necessidade de manter uma API pública separada apenas para a interface web principal</w:t>
            </w:r>
          </w:p>
        </w:tc>
      </w:tr>
      <w:tr w:rsidR="00530322" w:rsidRPr="007F0B5C" w14:paraId="4988E6F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986C8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7F0B5C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Painel administrativo e de moderação em React</w:t>
            </w:r>
          </w:p>
        </w:tc>
        <w:tc>
          <w:tcPr>
            <w:tcW w:w="5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48B83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7F0B5C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Estas interfaces exigem maior interatividade e visualização de dados do que o Livewire oferece de forma nativa</w:t>
            </w:r>
          </w:p>
        </w:tc>
      </w:tr>
      <w:tr w:rsidR="00530322" w:rsidRPr="007F0B5C" w14:paraId="00A89B0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0C142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7F0B5C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Estados explícitos para Biblioteca, Livro Premium e Empréstimo</w:t>
            </w:r>
          </w:p>
        </w:tc>
        <w:tc>
          <w:tcPr>
            <w:tcW w:w="5800" w:type="dxa"/>
            <w:shd w:val="clear" w:color="auto" w:fill="F4F6F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2D7AB" w14:textId="77777777" w:rsidR="00530322" w:rsidRPr="007F0B5C" w:rsidRDefault="00000000" w:rsidP="007F0B5C">
            <w:pPr>
              <w:spacing w:line="360" w:lineRule="auto"/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</w:pPr>
            <w:r w:rsidRPr="007F0B5C">
              <w:rPr>
                <w:rFonts w:ascii="Gotham" w:hAnsi="Gotham"/>
                <w:color w:val="000000" w:themeColor="text1"/>
                <w:sz w:val="24"/>
                <w:szCs w:val="24"/>
                <w:lang w:val="pt-PT"/>
              </w:rPr>
              <w:t>Torna as regras de negócio auditáveis e testáveis como máquinas de estado, reduzindo ambiguidade</w:t>
            </w:r>
          </w:p>
        </w:tc>
      </w:tr>
    </w:tbl>
    <w:p w14:paraId="5F504890" w14:textId="77777777" w:rsidR="00530322" w:rsidRPr="007F0B5C" w:rsidRDefault="00000000" w:rsidP="007F0B5C">
      <w:pPr>
        <w:pStyle w:val="Heading1"/>
        <w:pBdr>
          <w:bottom w:val="single" w:sz="8" w:space="4" w:color="B8860B"/>
        </w:pBdr>
        <w:spacing w:before="400" w:after="200" w:line="360" w:lineRule="auto"/>
        <w:rPr>
          <w:rFonts w:ascii="Gotham" w:hAnsi="Gotham"/>
          <w:color w:val="000000" w:themeColor="text1"/>
          <w:sz w:val="24"/>
          <w:szCs w:val="24"/>
        </w:rPr>
      </w:pPr>
      <w:r w:rsidRPr="007F0B5C">
        <w:rPr>
          <w:rFonts w:ascii="Gotham" w:hAnsi="Gotham"/>
          <w:b/>
          <w:bCs/>
          <w:color w:val="000000" w:themeColor="text1"/>
          <w:sz w:val="24"/>
          <w:szCs w:val="24"/>
        </w:rPr>
        <w:t xml:space="preserve">6. </w:t>
      </w:r>
      <w:proofErr w:type="spellStart"/>
      <w:r w:rsidRPr="007F0B5C">
        <w:rPr>
          <w:rFonts w:ascii="Gotham" w:hAnsi="Gotham"/>
          <w:b/>
          <w:bCs/>
          <w:color w:val="000000" w:themeColor="text1"/>
          <w:sz w:val="24"/>
          <w:szCs w:val="24"/>
        </w:rPr>
        <w:t>Segurança</w:t>
      </w:r>
      <w:proofErr w:type="spellEnd"/>
    </w:p>
    <w:p w14:paraId="25FCA12B" w14:textId="77777777" w:rsidR="00530322" w:rsidRPr="007F0B5C" w:rsidRDefault="00000000" w:rsidP="007F0B5C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>Autenticação centralizada via Laravel Sanctum, com sessões e tokens diferenciados para web e eventuais integrações móveis futuras.</w:t>
      </w:r>
    </w:p>
    <w:p w14:paraId="67BFC04A" w14:textId="77777777" w:rsidR="00530322" w:rsidRPr="007F0B5C" w:rsidRDefault="00000000" w:rsidP="007F0B5C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>Autorização por Policies do Laravel, garantindo que cada ação (ex: aprovar biblioteca) só é executável pelo perfil correto (Administrador).</w:t>
      </w:r>
    </w:p>
    <w:p w14:paraId="4240D6A3" w14:textId="77777777" w:rsidR="00530322" w:rsidRPr="007F0B5C" w:rsidRDefault="00000000" w:rsidP="007F0B5C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>Documentos de verificação e comprovativos de pagamento armazenados com acesso restrito e nunca expostos publicamente por URL direta.</w:t>
      </w:r>
    </w:p>
    <w:p w14:paraId="4C76F971" w14:textId="77777777" w:rsidR="00530322" w:rsidRPr="007F0B5C" w:rsidRDefault="00000000" w:rsidP="007F0B5C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lastRenderedPageBreak/>
        <w:t>Validação de ficheiros carregados delegada ao serviço de moderação antes de qualquer publicação visível ao público.</w:t>
      </w:r>
    </w:p>
    <w:p w14:paraId="0B4C2FCF" w14:textId="77777777" w:rsidR="00530322" w:rsidRPr="007F0B5C" w:rsidRDefault="00000000" w:rsidP="007F0B5C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>Registo de auditoria (logs) para aprovações, rejeições, suspensões e alterações de estado sensíveis.</w:t>
      </w:r>
    </w:p>
    <w:p w14:paraId="04D2BDD1" w14:textId="77777777" w:rsidR="00530322" w:rsidRPr="007F0B5C" w:rsidRDefault="00000000" w:rsidP="007F0B5C">
      <w:pPr>
        <w:pStyle w:val="Heading1"/>
        <w:pBdr>
          <w:bottom w:val="single" w:sz="8" w:space="4" w:color="B8860B"/>
        </w:pBdr>
        <w:spacing w:before="400" w:after="200" w:line="360" w:lineRule="auto"/>
        <w:rPr>
          <w:rFonts w:ascii="Gotham" w:hAnsi="Gotham"/>
          <w:color w:val="000000" w:themeColor="text1"/>
          <w:sz w:val="24"/>
          <w:szCs w:val="24"/>
        </w:rPr>
      </w:pPr>
      <w:r w:rsidRPr="007F0B5C">
        <w:rPr>
          <w:rFonts w:ascii="Gotham" w:hAnsi="Gotham"/>
          <w:b/>
          <w:bCs/>
          <w:color w:val="000000" w:themeColor="text1"/>
          <w:sz w:val="24"/>
          <w:szCs w:val="24"/>
        </w:rPr>
        <w:t xml:space="preserve">7. </w:t>
      </w:r>
      <w:proofErr w:type="spellStart"/>
      <w:r w:rsidRPr="007F0B5C">
        <w:rPr>
          <w:rFonts w:ascii="Gotham" w:hAnsi="Gotham"/>
          <w:b/>
          <w:bCs/>
          <w:color w:val="000000" w:themeColor="text1"/>
          <w:sz w:val="24"/>
          <w:szCs w:val="24"/>
        </w:rPr>
        <w:t>Escalabilidade</w:t>
      </w:r>
      <w:proofErr w:type="spellEnd"/>
      <w:r w:rsidRPr="007F0B5C">
        <w:rPr>
          <w:rFonts w:ascii="Gotham" w:hAnsi="Gotham"/>
          <w:b/>
          <w:bCs/>
          <w:color w:val="000000" w:themeColor="text1"/>
          <w:sz w:val="24"/>
          <w:szCs w:val="24"/>
        </w:rPr>
        <w:t xml:space="preserve"> e </w:t>
      </w:r>
      <w:proofErr w:type="spellStart"/>
      <w:r w:rsidRPr="007F0B5C">
        <w:rPr>
          <w:rFonts w:ascii="Gotham" w:hAnsi="Gotham"/>
          <w:b/>
          <w:bCs/>
          <w:color w:val="000000" w:themeColor="text1"/>
          <w:sz w:val="24"/>
          <w:szCs w:val="24"/>
        </w:rPr>
        <w:t>Desempenho</w:t>
      </w:r>
      <w:proofErr w:type="spellEnd"/>
    </w:p>
    <w:p w14:paraId="23C8B572" w14:textId="77777777" w:rsidR="00530322" w:rsidRPr="007F0B5C" w:rsidRDefault="00000000" w:rsidP="007F0B5C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>A aplicação Laravel pode ser escalada horizontalmente atrás de um balanceador de carga, mantendo sessões e cache centralizados em Redis.</w:t>
      </w:r>
    </w:p>
    <w:p w14:paraId="65E5AAEE" w14:textId="77777777" w:rsidR="00530322" w:rsidRPr="007F0B5C" w:rsidRDefault="00000000" w:rsidP="007F0B5C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>Filas de processamento assíncrono podem ser escaladas de forma independente do servidor web, adicionando mais workers Horizon conforme o volume de jobs cresce.</w:t>
      </w:r>
    </w:p>
    <w:p w14:paraId="36DB6878" w14:textId="77777777" w:rsidR="00530322" w:rsidRPr="007F0B5C" w:rsidRDefault="00000000" w:rsidP="007F0B5C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>Índices de base de dados devem ser aplicados nos campos mais usados em busca (título, categoria, localização, estado de disponibilidade).</w:t>
      </w:r>
    </w:p>
    <w:p w14:paraId="1A438EAD" w14:textId="77777777" w:rsidR="00530322" w:rsidRPr="007F0B5C" w:rsidRDefault="00000000" w:rsidP="007F0B5C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>O serviço de moderação, por ser independente, pode ser escalado ou substituído sem impacto direto na aplicação principal.</w:t>
      </w:r>
    </w:p>
    <w:p w14:paraId="2CC5367A" w14:textId="77777777" w:rsidR="00530322" w:rsidRPr="007F0B5C" w:rsidRDefault="00000000" w:rsidP="007F0B5C">
      <w:pPr>
        <w:pStyle w:val="Heading1"/>
        <w:pBdr>
          <w:bottom w:val="single" w:sz="8" w:space="4" w:color="B8860B"/>
        </w:pBdr>
        <w:spacing w:before="400" w:after="20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b/>
          <w:bCs/>
          <w:color w:val="000000" w:themeColor="text1"/>
          <w:sz w:val="24"/>
          <w:szCs w:val="24"/>
          <w:lang w:val="pt-PT"/>
        </w:rPr>
        <w:t>8. Infraestrutura e Implantação (Deployment)</w:t>
      </w:r>
    </w:p>
    <w:p w14:paraId="24C79F91" w14:textId="77777777" w:rsidR="00530322" w:rsidRPr="007F0B5C" w:rsidRDefault="00000000" w:rsidP="007F0B5C">
      <w:pPr>
        <w:spacing w:after="160" w:line="360" w:lineRule="auto"/>
        <w:jc w:val="both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>Recomenda-se um ambiente com, no mínimo, os seguintes componentes separados logicamente: servidor de aplicação (Laravel + PHP-FPM), servidor de base de dados (MySQL/MariaDB), instância Redis para cache e filas, e armazenamento de ficheiros dedicado (local com backup regular, ou serviço compatível com S3). O serviço de moderação pode ser implantado como aplicação independente, comunicando com o núcleo por API interna.</w:t>
      </w:r>
    </w:p>
    <w:p w14:paraId="19414ED3" w14:textId="77777777" w:rsidR="00530322" w:rsidRPr="007F0B5C" w:rsidRDefault="00000000" w:rsidP="007F0B5C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>Ambientes recomendados: desenvolvimento, homologação/staging e produção, com migrações de base de dados versionadas.</w:t>
      </w:r>
    </w:p>
    <w:p w14:paraId="7979C3A0" w14:textId="77777777" w:rsidR="00530322" w:rsidRPr="007F0B5C" w:rsidRDefault="00000000" w:rsidP="007F0B5C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>Backups automáticos e regulares da base de dados e do armazenamento de ficheiros, dada a natureza transacional do sistema (pagamentos, empréstimos).</w:t>
      </w:r>
    </w:p>
    <w:p w14:paraId="4F52BC32" w14:textId="77777777" w:rsidR="00530322" w:rsidRPr="007F0B5C" w:rsidRDefault="00000000" w:rsidP="007F0B5C">
      <w:pPr>
        <w:pStyle w:val="ListParagraph"/>
        <w:numPr>
          <w:ilvl w:val="0"/>
          <w:numId w:val="2"/>
        </w:numPr>
        <w:spacing w:after="9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t>Monitorização de filas (Horizon) e de erros de aplicação como parte da operação contínua.</w:t>
      </w:r>
    </w:p>
    <w:p w14:paraId="340AB9BC" w14:textId="77777777" w:rsidR="00530322" w:rsidRPr="007F0B5C" w:rsidRDefault="00000000" w:rsidP="007F0B5C">
      <w:pPr>
        <w:pStyle w:val="Heading1"/>
        <w:pBdr>
          <w:bottom w:val="single" w:sz="8" w:space="4" w:color="B8860B"/>
        </w:pBdr>
        <w:spacing w:before="400" w:after="200" w:line="360" w:lineRule="auto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b/>
          <w:bCs/>
          <w:color w:val="000000" w:themeColor="text1"/>
          <w:sz w:val="24"/>
          <w:szCs w:val="24"/>
          <w:lang w:val="pt-PT"/>
        </w:rPr>
        <w:t>9. Considerações Finais</w:t>
      </w:r>
    </w:p>
    <w:p w14:paraId="1A842689" w14:textId="77777777" w:rsidR="00530322" w:rsidRPr="007F0B5C" w:rsidRDefault="00000000" w:rsidP="007F0B5C">
      <w:pPr>
        <w:spacing w:after="160" w:line="360" w:lineRule="auto"/>
        <w:jc w:val="both"/>
        <w:rPr>
          <w:rFonts w:ascii="Gotham" w:hAnsi="Gotham"/>
          <w:color w:val="000000" w:themeColor="text1"/>
          <w:sz w:val="24"/>
          <w:szCs w:val="24"/>
          <w:lang w:val="pt-PT"/>
        </w:rPr>
      </w:pPr>
      <w:r w:rsidRPr="007F0B5C">
        <w:rPr>
          <w:rFonts w:ascii="Gotham" w:hAnsi="Gotham"/>
          <w:color w:val="000000" w:themeColor="text1"/>
          <w:sz w:val="24"/>
          <w:szCs w:val="24"/>
          <w:lang w:val="pt-PT"/>
        </w:rPr>
        <w:lastRenderedPageBreak/>
        <w:t>A arquitetura aqui descrita prioriza simplicidade operacional na fase inicial — um núcleo Laravel coeso — mantendo, ao mesmo tempo, pontos claros de separação (fila assíncrona, serviço de moderação) que permitem ao sistema crescer em complexidade e volume sem necessidade de reescrita estrutural. As decisões tomadas refletem diretamente os requisitos funcionais e não funcionais definidos na Especificação de Requisitos (SRS).</w:t>
      </w:r>
    </w:p>
    <w:sectPr w:rsidR="00530322" w:rsidRPr="007F0B5C">
      <w:headerReference w:type="default" r:id="rId10"/>
      <w:footerReference w:type="default" r:id="rId11"/>
      <w:pgSz w:w="11906" w:h="16838"/>
      <w:pgMar w:top="1100" w:right="1200" w:bottom="11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AE5BA" w14:textId="77777777" w:rsidR="00ED5673" w:rsidRDefault="00ED5673">
      <w:r>
        <w:separator/>
      </w:r>
    </w:p>
  </w:endnote>
  <w:endnote w:type="continuationSeparator" w:id="0">
    <w:p w14:paraId="369E04F4" w14:textId="77777777" w:rsidR="00ED5673" w:rsidRDefault="00ED56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tham">
    <w:panose1 w:val="02000504050000020004"/>
    <w:charset w:val="00"/>
    <w:family w:val="auto"/>
    <w:pitch w:val="variable"/>
    <w:sig w:usb0="800000A7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0E357" w14:textId="77777777" w:rsidR="00530322" w:rsidRPr="007F0B5C" w:rsidRDefault="00000000">
    <w:pPr>
      <w:pBdr>
        <w:top w:val="single" w:sz="4" w:space="4" w:color="CCCCCC"/>
      </w:pBdr>
      <w:jc w:val="center"/>
      <w:rPr>
        <w:lang w:val="pt-PT"/>
      </w:rPr>
    </w:pPr>
    <w:r w:rsidRPr="007F0B5C">
      <w:rPr>
        <w:color w:val="555555"/>
        <w:sz w:val="16"/>
        <w:szCs w:val="16"/>
        <w:lang w:val="pt-PT"/>
      </w:rPr>
      <w:t xml:space="preserve">Vutivi — Plataforma de Biblioteca   |   Página </w:t>
    </w:r>
    <w:r>
      <w:rPr>
        <w:color w:val="555555"/>
        <w:sz w:val="16"/>
        <w:szCs w:val="16"/>
      </w:rPr>
      <w:fldChar w:fldCharType="begin"/>
    </w:r>
    <w:r w:rsidRPr="007F0B5C">
      <w:rPr>
        <w:color w:val="555555"/>
        <w:sz w:val="16"/>
        <w:szCs w:val="16"/>
        <w:lang w:val="pt-PT"/>
      </w:rPr>
      <w:instrText>PAGE</w:instrText>
    </w:r>
    <w:r>
      <w:rPr>
        <w:color w:val="555555"/>
        <w:sz w:val="16"/>
        <w:szCs w:val="16"/>
      </w:rPr>
      <w:fldChar w:fldCharType="separate"/>
    </w:r>
    <w:r w:rsidR="007F0B5C" w:rsidRPr="007F0B5C">
      <w:rPr>
        <w:noProof/>
        <w:color w:val="555555"/>
        <w:sz w:val="16"/>
        <w:szCs w:val="16"/>
        <w:lang w:val="pt-PT"/>
      </w:rPr>
      <w:t>1</w:t>
    </w:r>
    <w:r>
      <w:rPr>
        <w:color w:val="555555"/>
        <w:sz w:val="16"/>
        <w:szCs w:val="16"/>
      </w:rPr>
      <w:fldChar w:fldCharType="end"/>
    </w:r>
    <w:r w:rsidRPr="007F0B5C">
      <w:rPr>
        <w:color w:val="555555"/>
        <w:sz w:val="16"/>
        <w:szCs w:val="16"/>
        <w:lang w:val="pt-PT"/>
      </w:rPr>
      <w:t xml:space="preserve"> de </w:t>
    </w:r>
    <w:r>
      <w:rPr>
        <w:color w:val="555555"/>
        <w:sz w:val="16"/>
        <w:szCs w:val="16"/>
      </w:rPr>
      <w:fldChar w:fldCharType="begin"/>
    </w:r>
    <w:r w:rsidRPr="007F0B5C">
      <w:rPr>
        <w:color w:val="555555"/>
        <w:sz w:val="16"/>
        <w:szCs w:val="16"/>
        <w:lang w:val="pt-PT"/>
      </w:rPr>
      <w:instrText>NUMPAGES</w:instrText>
    </w:r>
    <w:r>
      <w:rPr>
        <w:color w:val="555555"/>
        <w:sz w:val="16"/>
        <w:szCs w:val="16"/>
      </w:rPr>
      <w:fldChar w:fldCharType="separate"/>
    </w:r>
    <w:r w:rsidR="007F0B5C" w:rsidRPr="007F0B5C">
      <w:rPr>
        <w:noProof/>
        <w:color w:val="555555"/>
        <w:sz w:val="16"/>
        <w:szCs w:val="16"/>
        <w:lang w:val="pt-PT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95D7F" w14:textId="77777777" w:rsidR="00ED5673" w:rsidRDefault="00ED5673">
      <w:r>
        <w:separator/>
      </w:r>
    </w:p>
  </w:footnote>
  <w:footnote w:type="continuationSeparator" w:id="0">
    <w:p w14:paraId="425E086C" w14:textId="77777777" w:rsidR="00ED5673" w:rsidRDefault="00ED56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0F69B" w14:textId="77777777" w:rsidR="00530322" w:rsidRDefault="00000000">
    <w:pPr>
      <w:pBdr>
        <w:bottom w:val="single" w:sz="4" w:space="4" w:color="CCCCCC"/>
      </w:pBdr>
      <w:jc w:val="right"/>
    </w:pPr>
    <w:proofErr w:type="spellStart"/>
    <w:r>
      <w:rPr>
        <w:i/>
        <w:iCs/>
        <w:color w:val="555555"/>
        <w:sz w:val="16"/>
        <w:szCs w:val="16"/>
      </w:rPr>
      <w:t>Documento</w:t>
    </w:r>
    <w:proofErr w:type="spellEnd"/>
    <w:r>
      <w:rPr>
        <w:i/>
        <w:iCs/>
        <w:color w:val="555555"/>
        <w:sz w:val="16"/>
        <w:szCs w:val="16"/>
      </w:rPr>
      <w:t xml:space="preserve"> de </w:t>
    </w:r>
    <w:proofErr w:type="spellStart"/>
    <w:r>
      <w:rPr>
        <w:i/>
        <w:iCs/>
        <w:color w:val="555555"/>
        <w:sz w:val="16"/>
        <w:szCs w:val="16"/>
      </w:rPr>
      <w:t>Arquitetura</w:t>
    </w:r>
    <w:proofErr w:type="spellEnd"/>
    <w:r>
      <w:rPr>
        <w:i/>
        <w:iCs/>
        <w:color w:val="555555"/>
        <w:sz w:val="16"/>
        <w:szCs w:val="16"/>
      </w:rPr>
      <w:t xml:space="preserve"> · </w:t>
    </w:r>
    <w:proofErr w:type="spellStart"/>
    <w:r>
      <w:rPr>
        <w:i/>
        <w:iCs/>
        <w:color w:val="555555"/>
        <w:sz w:val="16"/>
        <w:szCs w:val="16"/>
      </w:rPr>
      <w:t>Vutivi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4757F"/>
    <w:multiLevelType w:val="hybridMultilevel"/>
    <w:tmpl w:val="C48A696A"/>
    <w:lvl w:ilvl="0" w:tplc="A0D45986">
      <w:start w:val="1"/>
      <w:numFmt w:val="decimal"/>
      <w:lvlText w:val="%1."/>
      <w:lvlJc w:val="left"/>
      <w:pPr>
        <w:ind w:left="460" w:hanging="260"/>
      </w:pPr>
    </w:lvl>
    <w:lvl w:ilvl="1" w:tplc="E826B4F2">
      <w:numFmt w:val="decimal"/>
      <w:lvlText w:val=""/>
      <w:lvlJc w:val="left"/>
    </w:lvl>
    <w:lvl w:ilvl="2" w:tplc="459CF8F8">
      <w:numFmt w:val="decimal"/>
      <w:lvlText w:val=""/>
      <w:lvlJc w:val="left"/>
    </w:lvl>
    <w:lvl w:ilvl="3" w:tplc="DEDE6678">
      <w:numFmt w:val="decimal"/>
      <w:lvlText w:val=""/>
      <w:lvlJc w:val="left"/>
    </w:lvl>
    <w:lvl w:ilvl="4" w:tplc="8D8216DC">
      <w:numFmt w:val="decimal"/>
      <w:lvlText w:val=""/>
      <w:lvlJc w:val="left"/>
    </w:lvl>
    <w:lvl w:ilvl="5" w:tplc="618CAFF8">
      <w:numFmt w:val="decimal"/>
      <w:lvlText w:val=""/>
      <w:lvlJc w:val="left"/>
    </w:lvl>
    <w:lvl w:ilvl="6" w:tplc="465A7B88">
      <w:numFmt w:val="decimal"/>
      <w:lvlText w:val=""/>
      <w:lvlJc w:val="left"/>
    </w:lvl>
    <w:lvl w:ilvl="7" w:tplc="72D01ACC">
      <w:numFmt w:val="decimal"/>
      <w:lvlText w:val=""/>
      <w:lvlJc w:val="left"/>
    </w:lvl>
    <w:lvl w:ilvl="8" w:tplc="841A6D10">
      <w:numFmt w:val="decimal"/>
      <w:lvlText w:val=""/>
      <w:lvlJc w:val="left"/>
    </w:lvl>
  </w:abstractNum>
  <w:abstractNum w:abstractNumId="1" w15:restartNumberingAfterBreak="0">
    <w:nsid w:val="1D231155"/>
    <w:multiLevelType w:val="hybridMultilevel"/>
    <w:tmpl w:val="2CE8384C"/>
    <w:lvl w:ilvl="0" w:tplc="436AB6C0">
      <w:start w:val="1"/>
      <w:numFmt w:val="bullet"/>
      <w:lvlText w:val="•"/>
      <w:lvlJc w:val="left"/>
      <w:pPr>
        <w:ind w:left="460" w:hanging="260"/>
      </w:pPr>
    </w:lvl>
    <w:lvl w:ilvl="1" w:tplc="6AAA7F12">
      <w:numFmt w:val="decimal"/>
      <w:lvlText w:val=""/>
      <w:lvlJc w:val="left"/>
    </w:lvl>
    <w:lvl w:ilvl="2" w:tplc="795E8E8E">
      <w:numFmt w:val="decimal"/>
      <w:lvlText w:val=""/>
      <w:lvlJc w:val="left"/>
    </w:lvl>
    <w:lvl w:ilvl="3" w:tplc="75141BE2">
      <w:numFmt w:val="decimal"/>
      <w:lvlText w:val=""/>
      <w:lvlJc w:val="left"/>
    </w:lvl>
    <w:lvl w:ilvl="4" w:tplc="223A8CE2">
      <w:numFmt w:val="decimal"/>
      <w:lvlText w:val=""/>
      <w:lvlJc w:val="left"/>
    </w:lvl>
    <w:lvl w:ilvl="5" w:tplc="2DFED728">
      <w:numFmt w:val="decimal"/>
      <w:lvlText w:val=""/>
      <w:lvlJc w:val="left"/>
    </w:lvl>
    <w:lvl w:ilvl="6" w:tplc="D2E4F228">
      <w:numFmt w:val="decimal"/>
      <w:lvlText w:val=""/>
      <w:lvlJc w:val="left"/>
    </w:lvl>
    <w:lvl w:ilvl="7" w:tplc="96920966">
      <w:numFmt w:val="decimal"/>
      <w:lvlText w:val=""/>
      <w:lvlJc w:val="left"/>
    </w:lvl>
    <w:lvl w:ilvl="8" w:tplc="F57C1652">
      <w:numFmt w:val="decimal"/>
      <w:lvlText w:val=""/>
      <w:lvlJc w:val="left"/>
    </w:lvl>
  </w:abstractNum>
  <w:abstractNum w:abstractNumId="2" w15:restartNumberingAfterBreak="0">
    <w:nsid w:val="4400720E"/>
    <w:multiLevelType w:val="hybridMultilevel"/>
    <w:tmpl w:val="B0B473DA"/>
    <w:lvl w:ilvl="0" w:tplc="D4EE6F84">
      <w:start w:val="1"/>
      <w:numFmt w:val="bullet"/>
      <w:lvlText w:val="●"/>
      <w:lvlJc w:val="left"/>
      <w:pPr>
        <w:ind w:left="720" w:hanging="360"/>
      </w:pPr>
    </w:lvl>
    <w:lvl w:ilvl="1" w:tplc="9DD230D8">
      <w:start w:val="1"/>
      <w:numFmt w:val="bullet"/>
      <w:lvlText w:val="○"/>
      <w:lvlJc w:val="left"/>
      <w:pPr>
        <w:ind w:left="1440" w:hanging="360"/>
      </w:pPr>
    </w:lvl>
    <w:lvl w:ilvl="2" w:tplc="5AECAD2C">
      <w:start w:val="1"/>
      <w:numFmt w:val="bullet"/>
      <w:lvlText w:val="■"/>
      <w:lvlJc w:val="left"/>
      <w:pPr>
        <w:ind w:left="2160" w:hanging="360"/>
      </w:pPr>
    </w:lvl>
    <w:lvl w:ilvl="3" w:tplc="19289AB2">
      <w:start w:val="1"/>
      <w:numFmt w:val="bullet"/>
      <w:lvlText w:val="●"/>
      <w:lvlJc w:val="left"/>
      <w:pPr>
        <w:ind w:left="2880" w:hanging="360"/>
      </w:pPr>
    </w:lvl>
    <w:lvl w:ilvl="4" w:tplc="1A522182">
      <w:start w:val="1"/>
      <w:numFmt w:val="bullet"/>
      <w:lvlText w:val="○"/>
      <w:lvlJc w:val="left"/>
      <w:pPr>
        <w:ind w:left="3600" w:hanging="360"/>
      </w:pPr>
    </w:lvl>
    <w:lvl w:ilvl="5" w:tplc="050AD134">
      <w:start w:val="1"/>
      <w:numFmt w:val="bullet"/>
      <w:lvlText w:val="■"/>
      <w:lvlJc w:val="left"/>
      <w:pPr>
        <w:ind w:left="4320" w:hanging="360"/>
      </w:pPr>
    </w:lvl>
    <w:lvl w:ilvl="6" w:tplc="39FCE592">
      <w:start w:val="1"/>
      <w:numFmt w:val="bullet"/>
      <w:lvlText w:val="●"/>
      <w:lvlJc w:val="left"/>
      <w:pPr>
        <w:ind w:left="5040" w:hanging="360"/>
      </w:pPr>
    </w:lvl>
    <w:lvl w:ilvl="7" w:tplc="AE9C148E">
      <w:start w:val="1"/>
      <w:numFmt w:val="bullet"/>
      <w:lvlText w:val="●"/>
      <w:lvlJc w:val="left"/>
      <w:pPr>
        <w:ind w:left="5760" w:hanging="360"/>
      </w:pPr>
    </w:lvl>
    <w:lvl w:ilvl="8" w:tplc="DC0EB3FC">
      <w:start w:val="1"/>
      <w:numFmt w:val="bullet"/>
      <w:lvlText w:val="●"/>
      <w:lvlJc w:val="left"/>
      <w:pPr>
        <w:ind w:left="6480" w:hanging="360"/>
      </w:pPr>
    </w:lvl>
  </w:abstractNum>
  <w:num w:numId="1" w16cid:durableId="601231048">
    <w:abstractNumId w:val="2"/>
    <w:lvlOverride w:ilvl="0">
      <w:startOverride w:val="1"/>
    </w:lvlOverride>
  </w:num>
  <w:num w:numId="2" w16cid:durableId="15112208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322"/>
    <w:rsid w:val="00530322"/>
    <w:rsid w:val="007F0B5C"/>
    <w:rsid w:val="00C351CB"/>
    <w:rsid w:val="00ED5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BAF54"/>
  <w15:docId w15:val="{12AAAB1F-64CB-4A53-B441-6ACD0345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1364</Words>
  <Characters>7780</Characters>
  <Application>Microsoft Office Word</Application>
  <DocSecurity>0</DocSecurity>
  <Lines>64</Lines>
  <Paragraphs>18</Paragraphs>
  <ScaleCrop>false</ScaleCrop>
  <Company/>
  <LinksUpToDate>false</LinksUpToDate>
  <CharactersWithSpaces>9126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jr chauque</cp:lastModifiedBy>
  <cp:revision>2</cp:revision>
  <dcterms:created xsi:type="dcterms:W3CDTF">2026-08-19T18:14:00Z</dcterms:created>
  <dcterms:modified xsi:type="dcterms:W3CDTF">2026-08-19T18:47:00Z</dcterms:modified>
</cp:coreProperties>
</file>