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5B6"/>
          <w:sz w:val="56"/>
        </w:rPr>
        <w:t>PLAN DE PRUEBAS</w:t>
      </w:r>
    </w:p>
    <w:p>
      <w:pPr>
        <w:jc w:val="center"/>
      </w:pPr>
      <w:r>
        <w:rPr>
          <w:color w:val="595659"/>
          <w:sz w:val="28"/>
        </w:rPr>
        <w:t>Automatización RPA - Generación de Archivo Plano de Migración de Cartera</w:t>
      </w:r>
    </w:p>
    <w:p/>
    <w:p>
      <w:pPr>
        <w:jc w:val="center"/>
      </w:pPr>
      <w:r>
        <w:rPr>
          <w:sz w:val="24"/>
        </w:rPr>
        <w:t>Proyecto: Prueba Técnica RPA + Java</w:t>
      </w:r>
    </w:p>
    <w:p>
      <w:pPr>
        <w:jc w:val="center"/>
      </w:pPr>
      <w:r>
        <w:rPr>
          <w:sz w:val="24"/>
        </w:rPr>
        <w:t>Fecha: 27 de mayo de 2026</w:t>
      </w:r>
    </w:p>
    <w:p>
      <w:pPr>
        <w:jc w:val="center"/>
      </w:pPr>
      <w:r>
        <w:rPr>
          <w:sz w:val="24"/>
        </w:rPr>
        <w:t>Autor: José Santiago</w:t>
      </w:r>
    </w:p>
    <w:p>
      <w:r>
        <w:br w:type="page"/>
      </w:r>
    </w:p>
    <w:p>
      <w:pPr>
        <w:pStyle w:val="Heading1"/>
      </w:pPr>
      <w:r>
        <w:rPr>
          <w:color w:val="2E75B6"/>
        </w:rPr>
        <w:t>1. Objetivo</w:t>
      </w:r>
    </w:p>
    <w:p>
      <w:r>
        <w:t>Validar que la automatización desarrollada en Java lee correctamente el archivo Excel de estructura (DetalleTecnico.xlsx), genera valores para los 294 campos respetando tipos, longitudes, reglas de negocio y listas de referencia, y produce un archivo plano .txt con N registros parametrizados desde escenarios BDD Gherkin.</w:t>
      </w:r>
    </w:p>
    <w:p>
      <w:pPr>
        <w:pStyle w:val="Heading1"/>
      </w:pPr>
      <w:r>
        <w:rPr>
          <w:color w:val="2E75B6"/>
        </w:rPr>
        <w:t>2. Alcance</w:t>
      </w:r>
    </w:p>
    <w:p>
      <w:r>
        <w:t>El plan cubre la validación funcional de la automatización RPA de migración de cartera, incluyendo:</w:t>
      </w:r>
    </w:p>
    <w:p>
      <w:pPr>
        <w:pStyle w:val="ListBullet"/>
      </w:pPr>
      <w:r>
        <w:t>Lectura y parsing del archivo Excel de estructura (294 campos)</w:t>
      </w:r>
    </w:p>
    <w:p>
      <w:pPr>
        <w:pStyle w:val="ListBullet"/>
      </w:pPr>
      <w:r>
        <w:t>Generación de valores según tipo de campo (ALFANUMERICO, NUMERICO)</w:t>
      </w:r>
    </w:p>
    <w:p>
      <w:pPr>
        <w:pStyle w:val="ListBullet"/>
      </w:pPr>
      <w:r>
        <w:t>Aplicación de reglas de negocio individuales y cruzadas</w:t>
      </w:r>
    </w:p>
    <w:p>
      <w:pPr>
        <w:pStyle w:val="ListBullet"/>
      </w:pPr>
      <w:r>
        <w:t>Uso correcto de listas de referencia</w:t>
      </w:r>
    </w:p>
    <w:p>
      <w:pPr>
        <w:pStyle w:val="ListBullet"/>
      </w:pPr>
      <w:r>
        <w:t>Coherencia financiera entre campos calculados</w:t>
      </w:r>
    </w:p>
    <w:p>
      <w:pPr>
        <w:pStyle w:val="ListBullet"/>
      </w:pPr>
      <w:r>
        <w:t>Generación parametrizada de N registros vía BDD Gherkin</w:t>
      </w:r>
    </w:p>
    <w:p>
      <w:pPr>
        <w:pStyle w:val="ListBullet"/>
      </w:pPr>
      <w:r>
        <w:t>Formato correcto del archivo plano de salida (.txt)</w:t>
      </w:r>
    </w:p>
    <w:p>
      <w:r>
        <w:br w:type="page"/>
      </w:r>
    </w:p>
    <w:p>
      <w:pPr>
        <w:pStyle w:val="Heading1"/>
      </w:pPr>
      <w:r>
        <w:rPr>
          <w:color w:val="2E75B6"/>
        </w:rPr>
        <w:t>3. Historias de Usuario</w:t>
      </w:r>
    </w:p>
    <w:p>
      <w:pPr>
        <w:pStyle w:val="Heading2"/>
      </w:pPr>
      <w:r>
        <w:rPr>
          <w:color w:val="2E75B6"/>
        </w:rPr>
        <w:t>HU-001: Lectura del esquema de migración</w:t>
      </w:r>
    </w:p>
    <w:p>
      <w:r>
        <w:t>Como usuario del sistema de migración, quiero que la automatización lea el archivo Excel DetalleTecnico.xlsx para que se carguen correctamente todos los campos con sus parámetros (nombre, tipo, longitud, enteros, decimales, obligatoriedad, regla, lista de referencia, datos aceptados).</w:t>
      </w:r>
    </w:p>
    <w:p>
      <w:pPr>
        <w:pStyle w:val="Heading3"/>
      </w:pPr>
      <w:r>
        <w:rPr>
          <w:color w:val="2E75B6"/>
        </w:rPr>
        <w:t>Criterios de Aceptación:</w:t>
      </w:r>
    </w:p>
    <w:p>
      <w:pPr>
        <w:pStyle w:val="ListBullet"/>
      </w:pPr>
      <w:r>
        <w:t>CA-01: El sistema debe cargar exactamente 294 campos desde la hoja DetalleTécnico.</w:t>
      </w:r>
    </w:p>
    <w:p>
      <w:pPr>
        <w:pStyle w:val="ListBullet"/>
      </w:pPr>
      <w:r>
        <w:t>CA-02: Cada campo debe tener identificados: nombre, tipo (ALFANUMERICO/NUMERICO), longitud, enteros, decimales y obligatoriedad.</w:t>
      </w:r>
    </w:p>
    <w:p>
      <w:pPr>
        <w:pStyle w:val="ListBullet"/>
      </w:pPr>
      <w:r>
        <w:t>CA-03: Las 15 listas de referencia deben estar cargadas (TIP ID CLIENTE, DANE, LINEAS, CONVENIOS, Cod. Aseguradoras, etc.).</w:t>
      </w:r>
    </w:p>
    <w:p>
      <w:pPr>
        <w:pStyle w:val="ListBullet"/>
      </w:pPr>
      <w:r>
        <w:t>CA-04: La longitud total del registro debe ser 2094 caracteres (suma de longitudes de los 294 campos).</w:t>
      </w:r>
    </w:p>
    <w:p>
      <w:pPr>
        <w:pStyle w:val="Heading2"/>
      </w:pPr>
      <w:r>
        <w:rPr>
          <w:color w:val="2E75B6"/>
        </w:rPr>
        <w:t>HU-002: Generación de archivo plano con N registros</w:t>
      </w:r>
    </w:p>
    <w:p>
      <w:r>
        <w:t>Como usuario, quiero generar un archivo plano .txt con una cantidad parametrizable de registros, donde cada registro respete la estructura de posiciones fijas definida en el Excel.</w:t>
      </w:r>
    </w:p>
    <w:p>
      <w:pPr>
        <w:pStyle w:val="Heading3"/>
      </w:pPr>
      <w:r>
        <w:rPr>
          <w:color w:val="2E75B6"/>
        </w:rPr>
        <w:t>Criterios de Aceptación:</w:t>
      </w:r>
    </w:p>
    <w:p>
      <w:pPr>
        <w:pStyle w:val="ListBullet"/>
      </w:pPr>
      <w:r>
        <w:t>CA-01: El archivo de salida debe contener exactamente N registros (líneas), donde N es parametrizado desde el escenario Gherkin.</w:t>
      </w:r>
    </w:p>
    <w:p>
      <w:pPr>
        <w:pStyle w:val="ListBullet"/>
      </w:pPr>
      <w:r>
        <w:t>CA-02: Cada línea del archivo debe tener exactamente 2094 caracteres.</w:t>
      </w:r>
    </w:p>
    <w:p>
      <w:pPr>
        <w:pStyle w:val="ListBullet"/>
      </w:pPr>
      <w:r>
        <w:t>CA-03: Los campos deben estar concatenados en el orden definido por el Excel, sin delimitadores.</w:t>
      </w:r>
    </w:p>
    <w:p>
      <w:pPr>
        <w:pStyle w:val="ListBullet"/>
      </w:pPr>
      <w:r>
        <w:t>CA-04: El archivo debe generarse en la ruta especificada (salida.txt).</w:t>
      </w:r>
    </w:p>
    <w:p>
      <w:pPr>
        <w:pStyle w:val="Heading2"/>
      </w:pPr>
      <w:r>
        <w:rPr>
          <w:color w:val="2E75B6"/>
        </w:rPr>
        <w:t>HU-003: Validación de tipos y formatos de campo</w:t>
      </w:r>
    </w:p>
    <w:p>
      <w:r>
        <w:t>Como usuario, quiero que cada campo generado respete el tipo y formato definido en el Excel para garantizar que el archivo plano sea compatible con el sistema destino de migración.</w:t>
      </w:r>
    </w:p>
    <w:p>
      <w:pPr>
        <w:pStyle w:val="Heading3"/>
      </w:pPr>
      <w:r>
        <w:rPr>
          <w:color w:val="2E75B6"/>
        </w:rPr>
        <w:t>Criterios de Aceptación:</w:t>
      </w:r>
    </w:p>
    <w:p>
      <w:pPr>
        <w:pStyle w:val="ListBullet"/>
      </w:pPr>
      <w:r>
        <w:t>CA-01: Los campos ALFANUMERICO deben estar alineados a la izquierda con relleno de espacios a la derecha hasta completar la longitud.</w:t>
      </w:r>
    </w:p>
    <w:p>
      <w:pPr>
        <w:pStyle w:val="ListBullet"/>
      </w:pPr>
      <w:r>
        <w:t>CA-02: Los campos NUMERICO sin decimales deben estar rellenos con ceros a la izquierda.</w:t>
      </w:r>
    </w:p>
    <w:p>
      <w:pPr>
        <w:pStyle w:val="ListBullet"/>
      </w:pPr>
      <w:r>
        <w:t>CA-03: Los campos NUMERICO con decimales deben concatenar enteros + decimales sin separador (ej: 12 enteros + 2 decimales = 14 caracteres).</w:t>
      </w:r>
    </w:p>
    <w:p>
      <w:pPr>
        <w:pStyle w:val="ListBullet"/>
      </w:pPr>
      <w:r>
        <w:t>CA-04: Los campos de fecha deben tener formato AAAAMMDD (8 caracteres).</w:t>
      </w:r>
    </w:p>
    <w:p>
      <w:pPr>
        <w:pStyle w:val="ListBullet"/>
      </w:pPr>
      <w:r>
        <w:t>CA-05: Los campos de signo deben contener únicamente "+" o "-" (1 carácter).</w:t>
      </w:r>
    </w:p>
    <w:p>
      <w:pPr>
        <w:pStyle w:val="ListBullet"/>
      </w:pPr>
      <w:r>
        <w:t>CA-06: Ningún campo obligatorio puede estar vacío (espacios en blanco), excepto cuando la regla indica explícitamente "Default espacio" o "Siempre en vacio".</w:t>
      </w:r>
    </w:p>
    <w:p>
      <w:pPr>
        <w:pStyle w:val="Heading2"/>
      </w:pPr>
      <w:r>
        <w:rPr>
          <w:color w:val="2E75B6"/>
        </w:rPr>
        <w:t>HU-004: Aplicación de reglas de negocio cruzadas</w:t>
      </w:r>
    </w:p>
    <w:p>
      <w:r>
        <w:t>Como usuario, quiero que se apliquen las reglas de negocio que dependen de valores de otros campos para garantizar la consistencia lógica del registro.</w:t>
      </w:r>
    </w:p>
    <w:p>
      <w:pPr>
        <w:pStyle w:val="Heading3"/>
      </w:pPr>
      <w:r>
        <w:rPr>
          <w:color w:val="2E75B6"/>
        </w:rPr>
        <w:t>Criterios de Aceptación:</w:t>
      </w:r>
    </w:p>
    <w:p>
      <w:pPr>
        <w:pStyle w:val="ListBullet"/>
      </w:pPr>
      <w:r>
        <w:t>CA-01: Si TIPOTASA-IN = "F" (fija), entonces TASDINAM-IN = "X" y TIPCUOTA-IN = "F".</w:t>
      </w:r>
    </w:p>
    <w:p>
      <w:pPr>
        <w:pStyle w:val="ListBullet"/>
      </w:pPr>
      <w:r>
        <w:t>CA-02: Si TIPOTASA-IN = "D" (dinámica), entonces TIPCUOTA-IN = "V" (variable).</w:t>
      </w:r>
    </w:p>
    <w:p>
      <w:pPr>
        <w:pStyle w:val="ListBullet"/>
      </w:pPr>
      <w:r>
        <w:t>CA-03: VALSLDACT-IN debe ser igual a CAPVIGACT-IN + CAPVENCI-IN.</w:t>
      </w:r>
    </w:p>
    <w:p>
      <w:pPr>
        <w:pStyle w:val="ListBullet"/>
      </w:pPr>
      <w:r>
        <w:t>CA-04: VALCAPPAG-IN debe ser igual a VALPRESTA-IN - VALSLDACT-IN (mínimo 0).</w:t>
      </w:r>
    </w:p>
    <w:p>
      <w:pPr>
        <w:pStyle w:val="ListBullet"/>
      </w:pPr>
      <w:r>
        <w:t>CA-05: Si CODLINCRE-IN ≠ 131 (no libranza), entonces NITEMPCON-IN debe ser ceros.</w:t>
      </w:r>
    </w:p>
    <w:p>
      <w:pPr>
        <w:pStyle w:val="ListBullet"/>
      </w:pPr>
      <w:r>
        <w:t>CA-06: CLASECAR-IN debe corresponder al mapeo de CODLINCRE-IN según la hoja Lineas (C=Comercial, O=Consumo, H=Vivienda, M=Microcrédito).</w:t>
      </w:r>
    </w:p>
    <w:p>
      <w:pPr>
        <w:pStyle w:val="ListBullet"/>
      </w:pPr>
      <w:r>
        <w:t>CA-07: Si CODLINCRE-IN = 014 (rotativo), VALCAPPAG-IN, NUMCUOPAG-IN y NUMCUOAPA-IN deben ser ceros, y FECFINPACT-IN = 99991231.</w:t>
      </w:r>
    </w:p>
    <w:p>
      <w:pPr>
        <w:pStyle w:val="ListBullet"/>
      </w:pPr>
      <w:r>
        <w:t>CA-08: DIASVEN-IN debe corresponder al rango de NUMDIAMOR-IN (0=BB, 1-30=01, 31-60=02, etc.).</w:t>
      </w:r>
    </w:p>
    <w:p>
      <w:pPr>
        <w:pStyle w:val="Heading2"/>
      </w:pPr>
      <w:r>
        <w:rPr>
          <w:color w:val="2E75B6"/>
        </w:rPr>
        <w:t>HU-005: Uso de listas de referencia</w:t>
      </w:r>
    </w:p>
    <w:p>
      <w:r>
        <w:t>Como usuario, quiero que los campos vinculados a listas de referencia solo generen valores válidos contenidos en dichas listas.</w:t>
      </w:r>
    </w:p>
    <w:p>
      <w:pPr>
        <w:pStyle w:val="Heading3"/>
      </w:pPr>
      <w:r>
        <w:rPr>
          <w:color w:val="2E75B6"/>
        </w:rPr>
        <w:t>Criterios de Aceptación:</w:t>
      </w:r>
    </w:p>
    <w:p>
      <w:pPr>
        <w:pStyle w:val="ListBullet"/>
      </w:pPr>
      <w:r>
        <w:t>CA-01: TIPIDECLI-IN solo debe contener valores de la lista TIP ID CLIENTE (C, E, I, J, L, P, R, T).</w:t>
      </w:r>
    </w:p>
    <w:p>
      <w:pPr>
        <w:pStyle w:val="ListBullet"/>
      </w:pPr>
      <w:r>
        <w:t>CA-02: CIUCLI-IN debe contener códigos DANE válidos de la hoja CodigoDANE.</w:t>
      </w:r>
    </w:p>
    <w:p>
      <w:pPr>
        <w:pStyle w:val="ListBullet"/>
      </w:pPr>
      <w:r>
        <w:t>CA-03: CODLINCRE-IN debe contener códigos de la hoja Lineas de crédito.</w:t>
      </w:r>
    </w:p>
    <w:p>
      <w:pPr>
        <w:pStyle w:val="ListBullet"/>
      </w:pPr>
      <w:r>
        <w:t>CA-04: Los campos con listaRef definida deben generar valores exclusivamente de esa lista.</w:t>
      </w:r>
    </w:p>
    <w:p>
      <w:pPr>
        <w:pStyle w:val="ListBullet"/>
      </w:pPr>
      <w:r>
        <w:t>CA-05: Si una lista de referencia no existe o está vacía, el campo debe generar un valor por defecto apropiado (ceros para numérico, espacios para alfanumérico).</w:t>
      </w:r>
    </w:p>
    <w:p>
      <w:pPr>
        <w:pStyle w:val="Heading2"/>
      </w:pPr>
      <w:r>
        <w:rPr>
          <w:color w:val="2E75B6"/>
        </w:rPr>
        <w:t>HU-006: Coherencia financiera</w:t>
      </w:r>
    </w:p>
    <w:p>
      <w:r>
        <w:t>Como usuario, quiero que los montos financieros generados sean coherentes entre sí para que los registros de migración sean realistas y válidos.</w:t>
      </w:r>
    </w:p>
    <w:p>
      <w:pPr>
        <w:pStyle w:val="Heading3"/>
      </w:pPr>
      <w:r>
        <w:rPr>
          <w:color w:val="2E75B6"/>
        </w:rPr>
        <w:t>Criterios de Aceptación:</w:t>
      </w:r>
    </w:p>
    <w:p>
      <w:pPr>
        <w:pStyle w:val="ListBullet"/>
      </w:pPr>
      <w:r>
        <w:t>CA-01: VALSLDACT-IN (saldo actual) nunca debe superar VALPRESTA-IN (valor del préstamo).</w:t>
      </w:r>
    </w:p>
    <w:p>
      <w:pPr>
        <w:pStyle w:val="ListBullet"/>
      </w:pPr>
      <w:r>
        <w:t>CA-02: CAPVIGACT-IN + CAPVENCI-IN debe ser igual a VALSLDACT-IN.</w:t>
      </w:r>
    </w:p>
    <w:p>
      <w:pPr>
        <w:pStyle w:val="ListBullet"/>
      </w:pPr>
      <w:r>
        <w:t>CA-03: VALCAPPAG-IN (capital pagado) = VALPRESTA-IN - VALSLDACT-IN, y nunca debe ser negativo.</w:t>
      </w:r>
    </w:p>
    <w:p>
      <w:pPr>
        <w:pStyle w:val="ListBullet"/>
      </w:pPr>
      <w:r>
        <w:t>CA-04: FACTLMOR-IN (factor liquidación mora) debe ser siempre 365.</w:t>
      </w:r>
    </w:p>
    <w:p>
      <w:r>
        <w:br w:type="page"/>
      </w:r>
    </w:p>
    <w:p>
      <w:pPr>
        <w:pStyle w:val="Heading1"/>
      </w:pPr>
      <w:r>
        <w:rPr>
          <w:color w:val="2E75B6"/>
        </w:rPr>
        <w:t>4. Casos de Prueba</w:t>
      </w:r>
    </w:p>
    <w:p>
      <w:r>
        <w:t>Los siguientes casos de prueba están escritos en formato Gherkin (Dado que / Cuando / Entonces) y validan los criterios de aceptación de cada historia de usuario.</w:t>
      </w:r>
    </w:p>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CP-001 — Verificar carga del esquema</w:t>
            </w:r>
          </w:p>
        </w:tc>
      </w:tr>
      <w:tr>
        <w:tc>
          <w:tcPr>
            <w:tcW w:type="dxa" w:w="9070"/>
            <w:gridSpan w:val="2"/>
            <w:shd w:fill="D6E4F0"/>
          </w:tcPr>
          <w:p>
            <w:pPr>
              <w:jc w:val="left"/>
            </w:pPr>
            <w:r/>
            <w:r>
              <w:rPr>
                <w:rFonts w:ascii="Calibri" w:hAnsi="Calibri"/>
                <w:b/>
                <w:sz w:val="22"/>
              </w:rPr>
              <w:t>HU-001 | CA-01, CA-03, CA-04</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El archivo de estructura "DetalleTecnico.xlsx" existe en el directorio del proyecto y contiene la hoja DetalleTécnico con la definición de los 294 campos de migración.</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El sistema carga y parsea el archivo Excel extrayendo nombre, tipo, longitud, enteros, decimales, obligatoriedad, regla, lista de referencia y datos aceptados de cada campo.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El esquema debe tener exactamente 294 campos definidos, las 15 listas de referencia deben estar cargadas, y la longitud total del registro debe ser 2094 caracteres.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CP-002 — Generar archivo con 100 registros válidos</w:t>
            </w:r>
          </w:p>
        </w:tc>
      </w:tr>
      <w:tr>
        <w:tc>
          <w:tcPr>
            <w:tcW w:type="dxa" w:w="9070"/>
            <w:gridSpan w:val="2"/>
            <w:shd w:fill="D6E4F0"/>
          </w:tcPr>
          <w:p>
            <w:pPr>
              <w:jc w:val="left"/>
            </w:pPr>
            <w:r/>
            <w:r>
              <w:rPr>
                <w:rFonts w:ascii="Calibri" w:hAnsi="Calibri"/>
                <w:b/>
                <w:sz w:val="22"/>
              </w:rPr>
              <w:t>HU-002 | CA-01, CA-02, CA-04</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El archivo de estructura "DetalleTecnico.xlsx" ha sido cargado exitosamente con los 294 campos y las listas de referencia.</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El sistema genera un archivo plano con 100 registros aplicando las reglas de generación para cada campo según su tipo, longitud y reglas de negocio.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El archivo "salida.txt" debe existir, cada línea debe tener exactamente 2094 caracteres, y todos los campos obligatorios deben tener datos válidos (no vacíos, excepto los que tienen regla de "Default espacio" o "Siempre en vacio").</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CP-003 — Validar formato de campos ALFANUMERICO</w:t>
            </w:r>
          </w:p>
        </w:tc>
      </w:tr>
      <w:tr>
        <w:tc>
          <w:tcPr>
            <w:tcW w:type="dxa" w:w="9070"/>
            <w:gridSpan w:val="2"/>
            <w:shd w:fill="D6E4F0"/>
          </w:tcPr>
          <w:p>
            <w:pPr>
              <w:jc w:val="left"/>
            </w:pPr>
            <w:r/>
            <w:r>
              <w:rPr>
                <w:rFonts w:ascii="Calibri" w:hAnsi="Calibri"/>
                <w:b/>
                <w:sz w:val="22"/>
              </w:rPr>
              <w:t>HU-003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los campos de tipo ALFANUMERICO de cada registro y se verifica su formato.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Cada campo ALFANUMERICO debe estar alineado a la izquierda con relleno de espacios a la derecha hasta completar su longitud definida. Ejemplo: NOMBRECLI-IN (35 chars) = "JUAN PEREZ                         ".</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CP-004 — Validar formato de campos NUMERICO</w:t>
            </w:r>
          </w:p>
        </w:tc>
      </w:tr>
      <w:tr>
        <w:tc>
          <w:tcPr>
            <w:tcW w:type="dxa" w:w="9070"/>
            <w:gridSpan w:val="2"/>
            <w:shd w:fill="D6E4F0"/>
          </w:tcPr>
          <w:p>
            <w:pPr>
              <w:jc w:val="left"/>
            </w:pPr>
            <w:r/>
            <w:r>
              <w:rPr>
                <w:rFonts w:ascii="Calibri" w:hAnsi="Calibri"/>
                <w:b/>
                <w:sz w:val="22"/>
              </w:rPr>
              <w:t>HU-003 | CA-02, CA-03</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los campos de tipo NUMERICO de cada registro y se verifica su formato.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Los campos NUMERICO sin decimales deben estar rellenos con ceros a la izquierda (ej: "00000012345"). Los campos con decimales deben concatenar enteros + decimales sin separador (ej: campo 12,2 → "00000123400").</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CP-005 — Validar formato de fechas AAAAMMDD</w:t>
            </w:r>
          </w:p>
        </w:tc>
      </w:tr>
      <w:tr>
        <w:tc>
          <w:tcPr>
            <w:tcW w:type="dxa" w:w="9070"/>
            <w:gridSpan w:val="2"/>
            <w:shd w:fill="D6E4F0"/>
          </w:tcPr>
          <w:p>
            <w:pPr>
              <w:jc w:val="left"/>
            </w:pPr>
            <w:r/>
            <w:r>
              <w:rPr>
                <w:rFonts w:ascii="Calibri" w:hAnsi="Calibri"/>
                <w:b/>
                <w:sz w:val="22"/>
              </w:rPr>
              <w:t>HU-003 | CA-04</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todos los campos de fecha (prefijo FEC, longitud 8) y se valida su formato.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Todos los campos de fecha deben tener formato AAAAMMDD válido (ej: "20250615"). Las fechas "00000000" son válidas solo para campos opcionales con regla "Default cero". Fechas como FECDESEMB-IN, FECFINPACT-IN, FECULTABO-IN deben ser fechas reales válidas.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CP-006 — Validar campos de signo</w:t>
            </w:r>
          </w:p>
        </w:tc>
      </w:tr>
      <w:tr>
        <w:tc>
          <w:tcPr>
            <w:tcW w:type="dxa" w:w="9070"/>
            <w:gridSpan w:val="2"/>
            <w:shd w:fill="D6E4F0"/>
          </w:tcPr>
          <w:p>
            <w:pPr>
              <w:jc w:val="left"/>
            </w:pPr>
            <w:r/>
            <w:r>
              <w:rPr>
                <w:rFonts w:ascii="Calibri" w:hAnsi="Calibri"/>
                <w:b/>
                <w:sz w:val="22"/>
              </w:rPr>
              <w:t>HU-003 | CA-05</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todos los campos de signo (prefijo SIG, longitud 1) de cada registro.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Cada campo de signo debe contener únicamente "+" o "-". Los campos cuya regla indica "signo -" o "negativo" deben ser "-"; los demás deben ser "+".</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CP-007 — Validar regla cruzada TIPOTASA → TASDINAM y TIPCUOTA</w:t>
            </w:r>
          </w:p>
        </w:tc>
      </w:tr>
      <w:tr>
        <w:tc>
          <w:tcPr>
            <w:tcW w:type="dxa" w:w="9070"/>
            <w:gridSpan w:val="2"/>
            <w:shd w:fill="D6E4F0"/>
          </w:tcPr>
          <w:p>
            <w:pPr>
              <w:jc w:val="left"/>
            </w:pPr>
            <w:r/>
            <w:r>
              <w:rPr>
                <w:rFonts w:ascii="Calibri" w:hAnsi="Calibri"/>
                <w:b/>
                <w:sz w:val="22"/>
              </w:rPr>
              <w:t>HU-004 | CA-01, CA-02</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 donde TIPOTASA-IN puede ser "F" (fija) o "D" (dinámica).</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 TIPOTASA-IN, TASDINAM-IN y TIPCUOTA-IN de cada registro y se validan las reglas cruzadas.</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Si TIPOTASA-IN = "F", entonces TASDINAM-IN debe ser "X" y TIPCUOTA-IN debe ser "F". Si TIPOTASA-IN = "D", entonces TIPCUOTA-IN debe ser "V".</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CP-008 — Validar cálculo de saldo actual</w:t>
            </w:r>
          </w:p>
        </w:tc>
      </w:tr>
      <w:tr>
        <w:tc>
          <w:tcPr>
            <w:tcW w:type="dxa" w:w="9070"/>
            <w:gridSpan w:val="2"/>
            <w:shd w:fill="D6E4F0"/>
          </w:tcPr>
          <w:p>
            <w:pPr>
              <w:jc w:val="left"/>
            </w:pPr>
            <w:r/>
            <w:r>
              <w:rPr>
                <w:rFonts w:ascii="Calibri" w:hAnsi="Calibri"/>
                <w:b/>
                <w:sz w:val="22"/>
              </w:rPr>
              <w:t>HU-004 | CA-03</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 con campos financieros poblados.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CAPVIGACT-IN, CAPVENCI-IN y VALSLDACT-IN de cada registro y se valida la fórmula de cálculo.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En cada registro, VALSLDACT-IN debe ser igual a CAPVIGACT-IN + CAPVENCI-IN. No se permiten discrepancias.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CP-009 — Validar cálculo de capital pagado</w:t>
            </w:r>
          </w:p>
        </w:tc>
      </w:tr>
      <w:tr>
        <w:tc>
          <w:tcPr>
            <w:tcW w:type="dxa" w:w="9070"/>
            <w:gridSpan w:val="2"/>
            <w:shd w:fill="D6E4F0"/>
          </w:tcPr>
          <w:p>
            <w:pPr>
              <w:jc w:val="left"/>
            </w:pPr>
            <w:r/>
            <w:r>
              <w:rPr>
                <w:rFonts w:ascii="Calibri" w:hAnsi="Calibri"/>
                <w:b/>
                <w:sz w:val="22"/>
              </w:rPr>
              <w:t>HU-004 | CA-04 | HU-006 | CA-03</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 con VALPRESTA-IN y VALSLDACT-IN poblados.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VALPRESTA-IN, VALSLDACT-IN y VALCAPPAG-IN de cada registro.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VALCAPPAG-IN debe ser igual a VALPRESTA-IN - VALSLDACT-IN. Si el resultado fuera negativo, VALCAPPAG-IN debe ser 0.</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CP-010 — Validar regla NITEMPCON condicional por línea de crédito</w:t>
            </w:r>
          </w:p>
        </w:tc>
      </w:tr>
      <w:tr>
        <w:tc>
          <w:tcPr>
            <w:tcW w:type="dxa" w:w="9070"/>
            <w:gridSpan w:val="2"/>
            <w:shd w:fill="D6E4F0"/>
          </w:tcPr>
          <w:p>
            <w:pPr>
              <w:jc w:val="left"/>
            </w:pPr>
            <w:r/>
            <w:r>
              <w:rPr>
                <w:rFonts w:ascii="Calibri" w:hAnsi="Calibri"/>
                <w:b/>
                <w:sz w:val="22"/>
              </w:rPr>
              <w:t>HU-004 | CA-05</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 con diversos valores de CODLINCRE-IN.</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CODLINCRE-IN y NITEMPCON-IN de cada registro y se valida la regla condicional.</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Si CODLINCRE-IN es diferente de 131 (libranza), entonces NITEMPCON-IN debe ser ceros ("00000000000"). Solo para línea 131 se permite un NIT diferente de cero.</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CP-011 — Validar mapeo CODLINCRE → CLASECAR</w:t>
            </w:r>
          </w:p>
        </w:tc>
      </w:tr>
      <w:tr>
        <w:tc>
          <w:tcPr>
            <w:tcW w:type="dxa" w:w="9070"/>
            <w:gridSpan w:val="2"/>
            <w:shd w:fill="D6E4F0"/>
          </w:tcPr>
          <w:p>
            <w:pPr>
              <w:jc w:val="left"/>
            </w:pPr>
            <w:r/>
            <w:r>
              <w:rPr>
                <w:rFonts w:ascii="Calibri" w:hAnsi="Calibri"/>
                <w:b/>
                <w:sz w:val="22"/>
              </w:rPr>
              <w:t>HU-004 | CA-06</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 con diversos códigos de línea de crédito.</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CODLINCRE-IN y CLASECAR-IN de cada registro y se valida el mapeo según la hoja Lineas del Excel.</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CLASECAR-IN debe corresponder al mapeo definido: C (Comercial), O (Consumo), H (Vivienda), M (Microcrédito). No se permiten valores fuera de este conjunto.</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CP-012 — Validar reglas de crédito rotativo</w:t>
            </w:r>
          </w:p>
        </w:tc>
      </w:tr>
      <w:tr>
        <w:tc>
          <w:tcPr>
            <w:tcW w:type="dxa" w:w="9070"/>
            <w:gridSpan w:val="2"/>
            <w:shd w:fill="D6E4F0"/>
          </w:tcPr>
          <w:p>
            <w:pPr>
              <w:jc w:val="left"/>
            </w:pPr>
            <w:r/>
            <w:r>
              <w:rPr>
                <w:rFonts w:ascii="Calibri" w:hAnsi="Calibri"/>
                <w:b/>
                <w:sz w:val="22"/>
              </w:rPr>
              <w:t>HU-004 | CA-07</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que incluye registros con CODLINCRE-IN = 014 (rotativo).</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filtran los registros con línea 014 y se validan los campos especiales de rotativo.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Para CODLINCRE-IN = 014: VALCAPPAG-IN, NUMCUOPAG-IN y NUMCUOAPA-IN deben ser ceros, y FECFINPACT-IN debe ser "99991231".</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CP-013 — Validar TIPIDECLI-IN contra lista de referencia</w:t>
            </w:r>
          </w:p>
        </w:tc>
      </w:tr>
      <w:tr>
        <w:tc>
          <w:tcPr>
            <w:tcW w:type="dxa" w:w="9070"/>
            <w:gridSpan w:val="2"/>
            <w:shd w:fill="D6E4F0"/>
          </w:tcPr>
          <w:p>
            <w:pPr>
              <w:jc w:val="left"/>
            </w:pPr>
            <w:r/>
            <w:r>
              <w:rPr>
                <w:rFonts w:ascii="Calibri" w:hAnsi="Calibri"/>
                <w:b/>
                <w:sz w:val="22"/>
              </w:rPr>
              <w:t>HU-005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50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 TIPIDECLI-IN de cada registro y se compara contra la lista de referencia TIP ID CLIENTE.</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TIPIDECLI-IN solo debe contener valores válidos: C (Cédula), E (Cédula extranjería), I (Identificación tributaria), J (NIT), L (Licencia), P (Pasaporte), R (Registro civil), T (Tarjeta identidad). No se permiten otros valores.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CP-014 — Validar CIUCLI-IN con códigos DANE</w:t>
            </w:r>
          </w:p>
        </w:tc>
      </w:tr>
      <w:tr>
        <w:tc>
          <w:tcPr>
            <w:tcW w:type="dxa" w:w="9070"/>
            <w:gridSpan w:val="2"/>
            <w:shd w:fill="D6E4F0"/>
          </w:tcPr>
          <w:p>
            <w:pPr>
              <w:jc w:val="left"/>
            </w:pPr>
            <w:r/>
            <w:r>
              <w:rPr>
                <w:rFonts w:ascii="Calibri" w:hAnsi="Calibri"/>
                <w:b/>
                <w:sz w:val="22"/>
              </w:rPr>
              <w:t>HU-005 | CA-02</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50 registros y la lista DANE está cargada desde la hoja CodigoDANE del Excel.</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 CIUCLI-IN de cada registro y se verifica que corresponda a un código DANE válido.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CIUCLI-IN debe contener un código DANE real de 5 dígitos (padded a 8 con ceros). Debe existir variedad de códigos entre los registros (no todos iguales). Ejemplos válidos: 76001000 (Cali), 05001000 (Medellín), 11001000 (Bogotá).</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CP-015 — Validar coherencia VALSLDACT ≤ VALPRESTA</w:t>
            </w:r>
          </w:p>
        </w:tc>
      </w:tr>
      <w:tr>
        <w:tc>
          <w:tcPr>
            <w:tcW w:type="dxa" w:w="9070"/>
            <w:gridSpan w:val="2"/>
            <w:shd w:fill="D6E4F0"/>
          </w:tcPr>
          <w:p>
            <w:pPr>
              <w:jc w:val="left"/>
            </w:pPr>
            <w:r/>
            <w:r>
              <w:rPr>
                <w:rFonts w:ascii="Calibri" w:hAnsi="Calibri"/>
                <w:b/>
                <w:sz w:val="22"/>
              </w:rPr>
              <w:t>HU-006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100 registros con campos financieros.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extraen VALPRESTA-IN y VALSLDACT-IN de cada registro y se comparan.</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En todos los registros, VALSLDACT-IN (saldo actual) debe ser menor o igual a VALPRESTA-IN (valor del préstamo). No se permiten saldos mayores al préstamo.</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CP-016 — Validar FACTLMOR siempre 365</w:t>
            </w:r>
          </w:p>
        </w:tc>
      </w:tr>
      <w:tr>
        <w:tc>
          <w:tcPr>
            <w:tcW w:type="dxa" w:w="9070"/>
            <w:gridSpan w:val="2"/>
            <w:shd w:fill="D6E4F0"/>
          </w:tcPr>
          <w:p>
            <w:pPr>
              <w:jc w:val="left"/>
            </w:pPr>
            <w:r/>
            <w:r>
              <w:rPr>
                <w:rFonts w:ascii="Calibri" w:hAnsi="Calibri"/>
                <w:b/>
                <w:sz w:val="22"/>
              </w:rPr>
              <w:t>HU-006 | CA-04</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al menos 10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extrae FACTLMOR-IN de cada registro.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FACTLMOR-IN debe ser "0000000000000365" (365 con padding de ceros) en todos los registros, sin excepción.</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CP-017 — Generar archivo parametrizado con 5 registros</w:t>
            </w:r>
          </w:p>
        </w:tc>
      </w:tr>
      <w:tr>
        <w:tc>
          <w:tcPr>
            <w:tcW w:type="dxa" w:w="9070"/>
            <w:gridSpan w:val="2"/>
            <w:shd w:fill="D6E4F0"/>
          </w:tcPr>
          <w:p>
            <w:pPr>
              <w:jc w:val="left"/>
            </w:pPr>
            <w:r/>
            <w:r>
              <w:rPr>
                <w:rFonts w:ascii="Calibri" w:hAnsi="Calibri"/>
                <w:b/>
                <w:sz w:val="22"/>
              </w:rPr>
              <w:t>HU-002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El archivo de estructura "DetalleTecnico.xlsx" ha sido cargado exitosamente.</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ejecuta el escenario Gherkin parametrizado con cantidad = 5 registros.</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El archivo "salida.txt" debe existir y debe contener exactamente 5 líneas.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CP-018 — Generar archivo parametrizado con 50 registros</w:t>
            </w:r>
          </w:p>
        </w:tc>
      </w:tr>
      <w:tr>
        <w:tc>
          <w:tcPr>
            <w:tcW w:type="dxa" w:w="9070"/>
            <w:gridSpan w:val="2"/>
            <w:shd w:fill="D6E4F0"/>
          </w:tcPr>
          <w:p>
            <w:pPr>
              <w:jc w:val="left"/>
            </w:pPr>
            <w:r/>
            <w:r>
              <w:rPr>
                <w:rFonts w:ascii="Calibri" w:hAnsi="Calibri"/>
                <w:b/>
                <w:sz w:val="22"/>
              </w:rPr>
              <w:t>HU-002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El archivo de estructura "DetalleTecnico.xlsx" ha sido cargado exitosamente.</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ejecuta el escenario Gherkin parametrizado con cantidad = 50 registros.</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El archivo "salida.txt" debe existir y debe contener exactamente 50 líneas.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CP-019 — Generar archivo parametrizado con 200 registros</w:t>
            </w:r>
          </w:p>
        </w:tc>
      </w:tr>
      <w:tr>
        <w:tc>
          <w:tcPr>
            <w:tcW w:type="dxa" w:w="9070"/>
            <w:gridSpan w:val="2"/>
            <w:shd w:fill="D6E4F0"/>
          </w:tcPr>
          <w:p>
            <w:pPr>
              <w:jc w:val="left"/>
            </w:pPr>
            <w:r/>
            <w:r>
              <w:rPr>
                <w:rFonts w:ascii="Calibri" w:hAnsi="Calibri"/>
                <w:b/>
                <w:sz w:val="22"/>
              </w:rPr>
              <w:t>HU-002 | CA-01</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El archivo de estructura "DetalleTecnico.xlsx" ha sido cargado exitosamente.</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ejecuta el escenario Gherkin parametrizado con cantidad = 200 registros.</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El archivo "salida.txt" debe existir y debe contener exactamente 200 líneas.</w:t>
            </w:r>
          </w:p>
        </w:tc>
      </w:tr>
    </w:tbl>
    <w:p/>
    <w:tbl>
      <w:tblPr>
        <w:tblStyle w:val="TableGrid"/>
        <w:tblW w:type="auto" w:w="0"/>
        <w:jc w:val="center"/>
        <w:tblLook w:firstColumn="1" w:firstRow="1" w:lastColumn="0" w:lastRow="0" w:noHBand="0" w:noVBand="1" w:val="04A0"/>
      </w:tblPr>
      <w:tblGrid>
        <w:gridCol w:w="4320"/>
        <w:gridCol w:w="4320"/>
      </w:tblGrid>
      <w:tr>
        <w:tc>
          <w:tcPr>
            <w:tcW w:type="dxa" w:w="9070"/>
            <w:gridSpan w:val="2"/>
            <w:shd w:fill="2E75B6"/>
          </w:tcPr>
          <w:p>
            <w:pPr>
              <w:jc w:val="left"/>
            </w:pPr>
            <w:r/>
            <w:r>
              <w:rPr>
                <w:rFonts w:ascii="Calibri" w:hAnsi="Calibri"/>
                <w:b/>
                <w:color w:val="FFFFFF"/>
                <w:sz w:val="24"/>
              </w:rPr>
              <w:t>CP-020 — Validar campos obligatorios no vacíos</w:t>
            </w:r>
          </w:p>
        </w:tc>
      </w:tr>
      <w:tr>
        <w:tc>
          <w:tcPr>
            <w:tcW w:type="dxa" w:w="9070"/>
            <w:gridSpan w:val="2"/>
            <w:shd w:fill="D6E4F0"/>
          </w:tcPr>
          <w:p>
            <w:pPr>
              <w:jc w:val="left"/>
            </w:pPr>
            <w:r/>
            <w:r>
              <w:rPr>
                <w:rFonts w:ascii="Calibri" w:hAnsi="Calibri"/>
                <w:b/>
                <w:sz w:val="22"/>
              </w:rPr>
              <w:t>HU-003 | CA-06</w:t>
            </w:r>
          </w:p>
        </w:tc>
      </w:tr>
      <w:tr>
        <w:tc>
          <w:tcPr>
            <w:tcW w:type="dxa" w:w="4535"/>
            <w:shd w:fill="E2EFDA"/>
          </w:tcPr>
          <w:p>
            <w:pPr>
              <w:jc w:val="left"/>
            </w:pPr>
            <w:r/>
            <w:r>
              <w:rPr>
                <w:rFonts w:ascii="Calibri" w:hAnsi="Calibri"/>
                <w:b/>
                <w:sz w:val="22"/>
              </w:rPr>
              <w:t>DADO QUE</w:t>
            </w:r>
          </w:p>
        </w:tc>
        <w:tc>
          <w:tcPr>
            <w:tcW w:type="dxa" w:w="4535"/>
          </w:tcPr>
          <w:p>
            <w:pPr>
              <w:jc w:val="left"/>
            </w:pPr>
            <w:r/>
            <w:r>
              <w:rPr>
                <w:rFonts w:ascii="Calibri" w:hAnsi="Calibri"/>
                <w:b w:val="0"/>
                <w:sz w:val="22"/>
              </w:rPr>
              <w:t>Se ha generado un archivo plano con 100 registros.</w:t>
            </w:r>
          </w:p>
        </w:tc>
      </w:tr>
      <w:tr>
        <w:tc>
          <w:tcPr>
            <w:tcW w:type="dxa" w:w="4535"/>
            <w:shd w:fill="E2EFDA"/>
          </w:tcPr>
          <w:p>
            <w:pPr>
              <w:jc w:val="left"/>
            </w:pPr>
            <w:r/>
            <w:r>
              <w:rPr>
                <w:rFonts w:ascii="Calibri" w:hAnsi="Calibri"/>
                <w:b/>
                <w:sz w:val="22"/>
              </w:rPr>
              <w:t>CUANDO</w:t>
            </w:r>
          </w:p>
        </w:tc>
        <w:tc>
          <w:tcPr>
            <w:tcW w:type="dxa" w:w="4535"/>
          </w:tcPr>
          <w:p>
            <w:pPr>
              <w:jc w:val="left"/>
            </w:pPr>
            <w:r/>
            <w:r>
              <w:rPr>
                <w:rFonts w:ascii="Calibri" w:hAnsi="Calibri"/>
                <w:b w:val="0"/>
                <w:sz w:val="22"/>
              </w:rPr>
              <w:t>Se identifican todos los campos marcados como obligatorios en el Excel y se verifica que no estén vacíos en cada registro.</w:t>
            </w:r>
          </w:p>
        </w:tc>
      </w:tr>
      <w:tr>
        <w:tc>
          <w:tcPr>
            <w:tcW w:type="dxa" w:w="4535"/>
            <w:shd w:fill="E2EFDA"/>
          </w:tcPr>
          <w:p>
            <w:pPr>
              <w:jc w:val="left"/>
            </w:pPr>
            <w:r/>
            <w:r>
              <w:rPr>
                <w:rFonts w:ascii="Calibri" w:hAnsi="Calibri"/>
                <w:b/>
                <w:sz w:val="22"/>
              </w:rPr>
              <w:t>ENTONCES</w:t>
            </w:r>
          </w:p>
        </w:tc>
        <w:tc>
          <w:tcPr>
            <w:tcW w:type="dxa" w:w="4535"/>
          </w:tcPr>
          <w:p>
            <w:pPr>
              <w:jc w:val="left"/>
            </w:pPr>
            <w:r/>
            <w:r>
              <w:rPr>
                <w:rFonts w:ascii="Calibri" w:hAnsi="Calibri"/>
                <w:b w:val="0"/>
                <w:sz w:val="22"/>
              </w:rPr>
              <w:t>Ningún campo obligatorio debe estar compuesto enteramente de espacios en blanco, excepto aquellos que tienen regla "Default espacio", "Default vacio" o "Siempre en vacio". Los campos numéricos obligatorios no deben ser todos ceros a menos que la regla lo indique.</w:t>
            </w:r>
          </w:p>
        </w:tc>
      </w:tr>
    </w:tbl>
    <w:p/>
    <w:p>
      <w:r>
        <w:br w:type="page"/>
      </w:r>
    </w:p>
    <w:p>
      <w:pPr>
        <w:pStyle w:val="Heading1"/>
      </w:pPr>
      <w:r>
        <w:rPr>
          <w:color w:val="2E75B6"/>
        </w:rPr>
        <w:t>5. Matriz de Trazabilidad</w:t>
      </w:r>
    </w:p>
    <w:p>
      <w:r>
        <w:t>La siguiente matriz relaciona cada caso de prueba con las historias de usuario y criterios de aceptación que valida.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5B6"/>
          </w:tcPr>
          <w:p>
            <w:pPr>
              <w:jc w:val="center"/>
            </w:pPr>
            <w:r/>
            <w:r>
              <w:rPr>
                <w:rFonts w:ascii="Calibri" w:hAnsi="Calibri"/>
                <w:b/>
                <w:color w:val="FFFFFF"/>
                <w:sz w:val="20"/>
              </w:rPr>
              <w:t>Caso de Prueba</w:t>
            </w:r>
          </w:p>
        </w:tc>
        <w:tc>
          <w:tcPr>
            <w:tcW w:type="dxa" w:w="2160"/>
            <w:shd w:fill="2E75B6"/>
          </w:tcPr>
          <w:p>
            <w:pPr>
              <w:jc w:val="center"/>
            </w:pPr>
            <w:r/>
            <w:r>
              <w:rPr>
                <w:rFonts w:ascii="Calibri" w:hAnsi="Calibri"/>
                <w:b/>
                <w:color w:val="FFFFFF"/>
                <w:sz w:val="20"/>
              </w:rPr>
              <w:t>Historia</w:t>
            </w:r>
          </w:p>
        </w:tc>
        <w:tc>
          <w:tcPr>
            <w:tcW w:type="dxa" w:w="2160"/>
            <w:shd w:fill="2E75B6"/>
          </w:tcPr>
          <w:p>
            <w:pPr>
              <w:jc w:val="center"/>
            </w:pPr>
            <w:r/>
            <w:r>
              <w:rPr>
                <w:rFonts w:ascii="Calibri" w:hAnsi="Calibri"/>
                <w:b/>
                <w:color w:val="FFFFFF"/>
                <w:sz w:val="20"/>
              </w:rPr>
              <w:t>Criterios</w:t>
            </w:r>
          </w:p>
        </w:tc>
        <w:tc>
          <w:tcPr>
            <w:tcW w:type="dxa" w:w="2160"/>
            <w:shd w:fill="2E75B6"/>
          </w:tcPr>
          <w:p>
            <w:pPr>
              <w:jc w:val="center"/>
            </w:pPr>
            <w:r/>
            <w:r>
              <w:rPr>
                <w:rFonts w:ascii="Calibri" w:hAnsi="Calibri"/>
                <w:b/>
                <w:color w:val="FFFFFF"/>
                <w:sz w:val="20"/>
              </w:rPr>
              <w:t>Estado</w:t>
            </w:r>
          </w:p>
        </w:tc>
      </w:tr>
      <w:tr>
        <w:tc>
          <w:tcPr>
            <w:tcW w:type="dxa" w:w="2160"/>
          </w:tcPr>
          <w:p>
            <w:pPr>
              <w:jc w:val="center"/>
            </w:pPr>
            <w:r/>
            <w:r>
              <w:rPr>
                <w:rFonts w:ascii="Calibri" w:hAnsi="Calibri"/>
                <w:b w:val="0"/>
                <w:sz w:val="20"/>
              </w:rPr>
              <w:t>CP-001</w:t>
            </w:r>
          </w:p>
        </w:tc>
        <w:tc>
          <w:tcPr>
            <w:tcW w:type="dxa" w:w="2160"/>
          </w:tcPr>
          <w:p>
            <w:pPr>
              <w:jc w:val="center"/>
            </w:pPr>
            <w:r/>
            <w:r>
              <w:rPr>
                <w:rFonts w:ascii="Calibri" w:hAnsi="Calibri"/>
                <w:b w:val="0"/>
                <w:sz w:val="20"/>
              </w:rPr>
              <w:t>HU-001</w:t>
            </w:r>
          </w:p>
        </w:tc>
        <w:tc>
          <w:tcPr>
            <w:tcW w:type="dxa" w:w="2160"/>
          </w:tcPr>
          <w:p>
            <w:pPr>
              <w:jc w:val="center"/>
            </w:pPr>
            <w:r/>
            <w:r>
              <w:rPr>
                <w:rFonts w:ascii="Calibri" w:hAnsi="Calibri"/>
                <w:b w:val="0"/>
                <w:sz w:val="20"/>
              </w:rPr>
              <w:t>CA-01, CA-03, CA-04</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CP-002</w:t>
            </w:r>
          </w:p>
        </w:tc>
        <w:tc>
          <w:tcPr>
            <w:tcW w:type="dxa" w:w="2160"/>
          </w:tcPr>
          <w:p>
            <w:pPr>
              <w:jc w:val="center"/>
            </w:pPr>
            <w:r/>
            <w:r>
              <w:rPr>
                <w:rFonts w:ascii="Calibri" w:hAnsi="Calibri"/>
                <w:b w:val="0"/>
                <w:sz w:val="20"/>
              </w:rPr>
              <w:t>HU-002</w:t>
            </w:r>
          </w:p>
        </w:tc>
        <w:tc>
          <w:tcPr>
            <w:tcW w:type="dxa" w:w="2160"/>
          </w:tcPr>
          <w:p>
            <w:pPr>
              <w:jc w:val="center"/>
            </w:pPr>
            <w:r/>
            <w:r>
              <w:rPr>
                <w:rFonts w:ascii="Calibri" w:hAnsi="Calibri"/>
                <w:b w:val="0"/>
                <w:sz w:val="20"/>
              </w:rPr>
              <w:t>CA-01, CA-02, CA-04</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CP-003</w:t>
            </w:r>
          </w:p>
        </w:tc>
        <w:tc>
          <w:tcPr>
            <w:tcW w:type="dxa" w:w="2160"/>
          </w:tcPr>
          <w:p>
            <w:pPr>
              <w:jc w:val="center"/>
            </w:pPr>
            <w:r/>
            <w:r>
              <w:rPr>
                <w:rFonts w:ascii="Calibri" w:hAnsi="Calibri"/>
                <w:b w:val="0"/>
                <w:sz w:val="20"/>
              </w:rPr>
              <w:t>HU-003</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CP-004</w:t>
            </w:r>
          </w:p>
        </w:tc>
        <w:tc>
          <w:tcPr>
            <w:tcW w:type="dxa" w:w="2160"/>
          </w:tcPr>
          <w:p>
            <w:pPr>
              <w:jc w:val="center"/>
            </w:pPr>
            <w:r/>
            <w:r>
              <w:rPr>
                <w:rFonts w:ascii="Calibri" w:hAnsi="Calibri"/>
                <w:b w:val="0"/>
                <w:sz w:val="20"/>
              </w:rPr>
              <w:t>HU-003</w:t>
            </w:r>
          </w:p>
        </w:tc>
        <w:tc>
          <w:tcPr>
            <w:tcW w:type="dxa" w:w="2160"/>
          </w:tcPr>
          <w:p>
            <w:pPr>
              <w:jc w:val="center"/>
            </w:pPr>
            <w:r/>
            <w:r>
              <w:rPr>
                <w:rFonts w:ascii="Calibri" w:hAnsi="Calibri"/>
                <w:b w:val="0"/>
                <w:sz w:val="20"/>
              </w:rPr>
              <w:t>CA-02, CA-03</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CP-005</w:t>
            </w:r>
          </w:p>
        </w:tc>
        <w:tc>
          <w:tcPr>
            <w:tcW w:type="dxa" w:w="2160"/>
          </w:tcPr>
          <w:p>
            <w:pPr>
              <w:jc w:val="center"/>
            </w:pPr>
            <w:r/>
            <w:r>
              <w:rPr>
                <w:rFonts w:ascii="Calibri" w:hAnsi="Calibri"/>
                <w:b w:val="0"/>
                <w:sz w:val="20"/>
              </w:rPr>
              <w:t>HU-003</w:t>
            </w:r>
          </w:p>
        </w:tc>
        <w:tc>
          <w:tcPr>
            <w:tcW w:type="dxa" w:w="2160"/>
          </w:tcPr>
          <w:p>
            <w:pPr>
              <w:jc w:val="center"/>
            </w:pPr>
            <w:r/>
            <w:r>
              <w:rPr>
                <w:rFonts w:ascii="Calibri" w:hAnsi="Calibri"/>
                <w:b w:val="0"/>
                <w:sz w:val="20"/>
              </w:rPr>
              <w:t>CA-04</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CP-006</w:t>
            </w:r>
          </w:p>
        </w:tc>
        <w:tc>
          <w:tcPr>
            <w:tcW w:type="dxa" w:w="2160"/>
          </w:tcPr>
          <w:p>
            <w:pPr>
              <w:jc w:val="center"/>
            </w:pPr>
            <w:r/>
            <w:r>
              <w:rPr>
                <w:rFonts w:ascii="Calibri" w:hAnsi="Calibri"/>
                <w:b w:val="0"/>
                <w:sz w:val="20"/>
              </w:rPr>
              <w:t>HU-003</w:t>
            </w:r>
          </w:p>
        </w:tc>
        <w:tc>
          <w:tcPr>
            <w:tcW w:type="dxa" w:w="2160"/>
          </w:tcPr>
          <w:p>
            <w:pPr>
              <w:jc w:val="center"/>
            </w:pPr>
            <w:r/>
            <w:r>
              <w:rPr>
                <w:rFonts w:ascii="Calibri" w:hAnsi="Calibri"/>
                <w:b w:val="0"/>
                <w:sz w:val="20"/>
              </w:rPr>
              <w:t>CA-05</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CP-007</w:t>
            </w:r>
          </w:p>
        </w:tc>
        <w:tc>
          <w:tcPr>
            <w:tcW w:type="dxa" w:w="2160"/>
          </w:tcPr>
          <w:p>
            <w:pPr>
              <w:jc w:val="center"/>
            </w:pPr>
            <w:r/>
            <w:r>
              <w:rPr>
                <w:rFonts w:ascii="Calibri" w:hAnsi="Calibri"/>
                <w:b w:val="0"/>
                <w:sz w:val="20"/>
              </w:rPr>
              <w:t>HU-004</w:t>
            </w:r>
          </w:p>
        </w:tc>
        <w:tc>
          <w:tcPr>
            <w:tcW w:type="dxa" w:w="2160"/>
          </w:tcPr>
          <w:p>
            <w:pPr>
              <w:jc w:val="center"/>
            </w:pPr>
            <w:r/>
            <w:r>
              <w:rPr>
                <w:rFonts w:ascii="Calibri" w:hAnsi="Calibri"/>
                <w:b w:val="0"/>
                <w:sz w:val="20"/>
              </w:rPr>
              <w:t>CA-01, CA-02</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CP-008</w:t>
            </w:r>
          </w:p>
        </w:tc>
        <w:tc>
          <w:tcPr>
            <w:tcW w:type="dxa" w:w="2160"/>
          </w:tcPr>
          <w:p>
            <w:pPr>
              <w:jc w:val="center"/>
            </w:pPr>
            <w:r/>
            <w:r>
              <w:rPr>
                <w:rFonts w:ascii="Calibri" w:hAnsi="Calibri"/>
                <w:b w:val="0"/>
                <w:sz w:val="20"/>
              </w:rPr>
              <w:t>HU-004</w:t>
            </w:r>
          </w:p>
        </w:tc>
        <w:tc>
          <w:tcPr>
            <w:tcW w:type="dxa" w:w="2160"/>
          </w:tcPr>
          <w:p>
            <w:pPr>
              <w:jc w:val="center"/>
            </w:pPr>
            <w:r/>
            <w:r>
              <w:rPr>
                <w:rFonts w:ascii="Calibri" w:hAnsi="Calibri"/>
                <w:b w:val="0"/>
                <w:sz w:val="20"/>
              </w:rPr>
              <w:t>CA-03</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CP-009</w:t>
            </w:r>
          </w:p>
        </w:tc>
        <w:tc>
          <w:tcPr>
            <w:tcW w:type="dxa" w:w="2160"/>
          </w:tcPr>
          <w:p>
            <w:pPr>
              <w:jc w:val="center"/>
            </w:pPr>
            <w:r/>
            <w:r>
              <w:rPr>
                <w:rFonts w:ascii="Calibri" w:hAnsi="Calibri"/>
                <w:b w:val="0"/>
                <w:sz w:val="20"/>
              </w:rPr>
              <w:t>HU-004, HU-006</w:t>
            </w:r>
          </w:p>
        </w:tc>
        <w:tc>
          <w:tcPr>
            <w:tcW w:type="dxa" w:w="2160"/>
          </w:tcPr>
          <w:p>
            <w:pPr>
              <w:jc w:val="center"/>
            </w:pPr>
            <w:r/>
            <w:r>
              <w:rPr>
                <w:rFonts w:ascii="Calibri" w:hAnsi="Calibri"/>
                <w:b w:val="0"/>
                <w:sz w:val="20"/>
              </w:rPr>
              <w:t>CA-04, CA-03</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CP-010</w:t>
            </w:r>
          </w:p>
        </w:tc>
        <w:tc>
          <w:tcPr>
            <w:tcW w:type="dxa" w:w="2160"/>
          </w:tcPr>
          <w:p>
            <w:pPr>
              <w:jc w:val="center"/>
            </w:pPr>
            <w:r/>
            <w:r>
              <w:rPr>
                <w:rFonts w:ascii="Calibri" w:hAnsi="Calibri"/>
                <w:b w:val="0"/>
                <w:sz w:val="20"/>
              </w:rPr>
              <w:t>HU-004</w:t>
            </w:r>
          </w:p>
        </w:tc>
        <w:tc>
          <w:tcPr>
            <w:tcW w:type="dxa" w:w="2160"/>
          </w:tcPr>
          <w:p>
            <w:pPr>
              <w:jc w:val="center"/>
            </w:pPr>
            <w:r/>
            <w:r>
              <w:rPr>
                <w:rFonts w:ascii="Calibri" w:hAnsi="Calibri"/>
                <w:b w:val="0"/>
                <w:sz w:val="20"/>
              </w:rPr>
              <w:t>CA-05</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CP-011</w:t>
            </w:r>
          </w:p>
        </w:tc>
        <w:tc>
          <w:tcPr>
            <w:tcW w:type="dxa" w:w="2160"/>
          </w:tcPr>
          <w:p>
            <w:pPr>
              <w:jc w:val="center"/>
            </w:pPr>
            <w:r/>
            <w:r>
              <w:rPr>
                <w:rFonts w:ascii="Calibri" w:hAnsi="Calibri"/>
                <w:b w:val="0"/>
                <w:sz w:val="20"/>
              </w:rPr>
              <w:t>HU-004</w:t>
            </w:r>
          </w:p>
        </w:tc>
        <w:tc>
          <w:tcPr>
            <w:tcW w:type="dxa" w:w="2160"/>
          </w:tcPr>
          <w:p>
            <w:pPr>
              <w:jc w:val="center"/>
            </w:pPr>
            <w:r/>
            <w:r>
              <w:rPr>
                <w:rFonts w:ascii="Calibri" w:hAnsi="Calibri"/>
                <w:b w:val="0"/>
                <w:sz w:val="20"/>
              </w:rPr>
              <w:t>CA-06</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CP-012</w:t>
            </w:r>
          </w:p>
        </w:tc>
        <w:tc>
          <w:tcPr>
            <w:tcW w:type="dxa" w:w="2160"/>
          </w:tcPr>
          <w:p>
            <w:pPr>
              <w:jc w:val="center"/>
            </w:pPr>
            <w:r/>
            <w:r>
              <w:rPr>
                <w:rFonts w:ascii="Calibri" w:hAnsi="Calibri"/>
                <w:b w:val="0"/>
                <w:sz w:val="20"/>
              </w:rPr>
              <w:t>HU-004</w:t>
            </w:r>
          </w:p>
        </w:tc>
        <w:tc>
          <w:tcPr>
            <w:tcW w:type="dxa" w:w="2160"/>
          </w:tcPr>
          <w:p>
            <w:pPr>
              <w:jc w:val="center"/>
            </w:pPr>
            <w:r/>
            <w:r>
              <w:rPr>
                <w:rFonts w:ascii="Calibri" w:hAnsi="Calibri"/>
                <w:b w:val="0"/>
                <w:sz w:val="20"/>
              </w:rPr>
              <w:t>CA-07</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CP-013</w:t>
            </w:r>
          </w:p>
        </w:tc>
        <w:tc>
          <w:tcPr>
            <w:tcW w:type="dxa" w:w="2160"/>
          </w:tcPr>
          <w:p>
            <w:pPr>
              <w:jc w:val="center"/>
            </w:pPr>
            <w:r/>
            <w:r>
              <w:rPr>
                <w:rFonts w:ascii="Calibri" w:hAnsi="Calibri"/>
                <w:b w:val="0"/>
                <w:sz w:val="20"/>
              </w:rPr>
              <w:t>HU-005</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CP-014</w:t>
            </w:r>
          </w:p>
        </w:tc>
        <w:tc>
          <w:tcPr>
            <w:tcW w:type="dxa" w:w="2160"/>
          </w:tcPr>
          <w:p>
            <w:pPr>
              <w:jc w:val="center"/>
            </w:pPr>
            <w:r/>
            <w:r>
              <w:rPr>
                <w:rFonts w:ascii="Calibri" w:hAnsi="Calibri"/>
                <w:b w:val="0"/>
                <w:sz w:val="20"/>
              </w:rPr>
              <w:t>HU-005</w:t>
            </w:r>
          </w:p>
        </w:tc>
        <w:tc>
          <w:tcPr>
            <w:tcW w:type="dxa" w:w="2160"/>
          </w:tcPr>
          <w:p>
            <w:pPr>
              <w:jc w:val="center"/>
            </w:pPr>
            <w:r/>
            <w:r>
              <w:rPr>
                <w:rFonts w:ascii="Calibri" w:hAnsi="Calibri"/>
                <w:b w:val="0"/>
                <w:sz w:val="20"/>
              </w:rPr>
              <w:t>CA-02</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CP-015</w:t>
            </w:r>
          </w:p>
        </w:tc>
        <w:tc>
          <w:tcPr>
            <w:tcW w:type="dxa" w:w="2160"/>
          </w:tcPr>
          <w:p>
            <w:pPr>
              <w:jc w:val="center"/>
            </w:pPr>
            <w:r/>
            <w:r>
              <w:rPr>
                <w:rFonts w:ascii="Calibri" w:hAnsi="Calibri"/>
                <w:b w:val="0"/>
                <w:sz w:val="20"/>
              </w:rPr>
              <w:t>HU-006</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CP-016</w:t>
            </w:r>
          </w:p>
        </w:tc>
        <w:tc>
          <w:tcPr>
            <w:tcW w:type="dxa" w:w="2160"/>
          </w:tcPr>
          <w:p>
            <w:pPr>
              <w:jc w:val="center"/>
            </w:pPr>
            <w:r/>
            <w:r>
              <w:rPr>
                <w:rFonts w:ascii="Calibri" w:hAnsi="Calibri"/>
                <w:b w:val="0"/>
                <w:sz w:val="20"/>
              </w:rPr>
              <w:t>HU-006</w:t>
            </w:r>
          </w:p>
        </w:tc>
        <w:tc>
          <w:tcPr>
            <w:tcW w:type="dxa" w:w="2160"/>
          </w:tcPr>
          <w:p>
            <w:pPr>
              <w:jc w:val="center"/>
            </w:pPr>
            <w:r/>
            <w:r>
              <w:rPr>
                <w:rFonts w:ascii="Calibri" w:hAnsi="Calibri"/>
                <w:b w:val="0"/>
                <w:sz w:val="20"/>
              </w:rPr>
              <w:t>CA-04</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CP-017</w:t>
            </w:r>
          </w:p>
        </w:tc>
        <w:tc>
          <w:tcPr>
            <w:tcW w:type="dxa" w:w="2160"/>
          </w:tcPr>
          <w:p>
            <w:pPr>
              <w:jc w:val="center"/>
            </w:pPr>
            <w:r/>
            <w:r>
              <w:rPr>
                <w:rFonts w:ascii="Calibri" w:hAnsi="Calibri"/>
                <w:b w:val="0"/>
                <w:sz w:val="20"/>
              </w:rPr>
              <w:t>HU-002</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CP-018</w:t>
            </w:r>
          </w:p>
        </w:tc>
        <w:tc>
          <w:tcPr>
            <w:tcW w:type="dxa" w:w="2160"/>
          </w:tcPr>
          <w:p>
            <w:pPr>
              <w:jc w:val="center"/>
            </w:pPr>
            <w:r/>
            <w:r>
              <w:rPr>
                <w:rFonts w:ascii="Calibri" w:hAnsi="Calibri"/>
                <w:b w:val="0"/>
                <w:sz w:val="20"/>
              </w:rPr>
              <w:t>HU-002</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CP-019</w:t>
            </w:r>
          </w:p>
        </w:tc>
        <w:tc>
          <w:tcPr>
            <w:tcW w:type="dxa" w:w="2160"/>
          </w:tcPr>
          <w:p>
            <w:pPr>
              <w:jc w:val="center"/>
            </w:pPr>
            <w:r/>
            <w:r>
              <w:rPr>
                <w:rFonts w:ascii="Calibri" w:hAnsi="Calibri"/>
                <w:b w:val="0"/>
                <w:sz w:val="20"/>
              </w:rPr>
              <w:t>HU-002</w:t>
            </w:r>
          </w:p>
        </w:tc>
        <w:tc>
          <w:tcPr>
            <w:tcW w:type="dxa" w:w="2160"/>
          </w:tcPr>
          <w:p>
            <w:pPr>
              <w:jc w:val="center"/>
            </w:pPr>
            <w:r/>
            <w:r>
              <w:rPr>
                <w:rFonts w:ascii="Calibri" w:hAnsi="Calibri"/>
                <w:b w:val="0"/>
                <w:sz w:val="20"/>
              </w:rPr>
              <w:t>CA-01</w:t>
            </w:r>
          </w:p>
        </w:tc>
        <w:tc>
          <w:tcPr>
            <w:tcW w:type="dxa" w:w="2160"/>
            <w:shd w:fill="C6EFCE"/>
          </w:tcPr>
          <w:p>
            <w:pPr>
              <w:jc w:val="center"/>
            </w:pPr>
            <w:r/>
            <w:r>
              <w:rPr>
                <w:rFonts w:ascii="Calibri" w:hAnsi="Calibri"/>
                <w:b w:val="0"/>
                <w:sz w:val="20"/>
              </w:rPr>
              <w:t>Aprobado</w:t>
            </w:r>
          </w:p>
        </w:tc>
      </w:tr>
      <w:tr>
        <w:tc>
          <w:tcPr>
            <w:tcW w:type="dxa" w:w="2160"/>
          </w:tcPr>
          <w:p>
            <w:pPr>
              <w:jc w:val="center"/>
            </w:pPr>
            <w:r/>
            <w:r>
              <w:rPr>
                <w:rFonts w:ascii="Calibri" w:hAnsi="Calibri"/>
                <w:b w:val="0"/>
                <w:sz w:val="20"/>
              </w:rPr>
              <w:t>CP-020</w:t>
            </w:r>
          </w:p>
        </w:tc>
        <w:tc>
          <w:tcPr>
            <w:tcW w:type="dxa" w:w="2160"/>
          </w:tcPr>
          <w:p>
            <w:pPr>
              <w:jc w:val="center"/>
            </w:pPr>
            <w:r/>
            <w:r>
              <w:rPr>
                <w:rFonts w:ascii="Calibri" w:hAnsi="Calibri"/>
                <w:b w:val="0"/>
                <w:sz w:val="20"/>
              </w:rPr>
              <w:t>HU-003</w:t>
            </w:r>
          </w:p>
        </w:tc>
        <w:tc>
          <w:tcPr>
            <w:tcW w:type="dxa" w:w="2160"/>
          </w:tcPr>
          <w:p>
            <w:pPr>
              <w:jc w:val="center"/>
            </w:pPr>
            <w:r/>
            <w:r>
              <w:rPr>
                <w:rFonts w:ascii="Calibri" w:hAnsi="Calibri"/>
                <w:b w:val="0"/>
                <w:sz w:val="20"/>
              </w:rPr>
              <w:t>CA-06</w:t>
            </w:r>
          </w:p>
        </w:tc>
        <w:tc>
          <w:tcPr>
            <w:tcW w:type="dxa" w:w="2160"/>
            <w:shd w:fill="C6EFCE"/>
          </w:tcPr>
          <w:p>
            <w:pPr>
              <w:jc w:val="center"/>
            </w:pPr>
            <w:r/>
            <w:r>
              <w:rPr>
                <w:rFonts w:ascii="Calibri" w:hAnsi="Calibri"/>
                <w:b w:val="0"/>
                <w:sz w:val="20"/>
              </w:rPr>
              <w:t>Aprobado</w:t>
            </w:r>
          </w:p>
        </w:tc>
      </w:tr>
    </w:tbl>
    <w:p/>
    <w:p>
      <w:pPr>
        <w:pStyle w:val="Heading1"/>
      </w:pPr>
      <w:r>
        <w:rPr>
          <w:color w:val="2E75B6"/>
        </w:rPr>
        <w:t>6. Resultados de Ejecución</w:t>
      </w:r>
    </w:p>
    <w:p>
      <w:r>
        <w:t>La ejecución de los tests automatizados vía Cucumber/Gherkin arroja los siguientes resultados:</w:t>
      </w:r>
    </w:p>
    <w:tbl>
      <w:tblPr>
        <w:tblStyle w:val="TableGrid"/>
        <w:tblW w:type="auto" w:w="0"/>
        <w:jc w:val="center"/>
        <w:tblLook w:firstColumn="1" w:firstRow="1" w:lastColumn="0" w:lastRow="0" w:noHBand="0" w:noVBand="1" w:val="04A0"/>
      </w:tblPr>
      <w:tblGrid>
        <w:gridCol w:w="4320"/>
        <w:gridCol w:w="4320"/>
      </w:tblGrid>
      <w:tr>
        <w:tc>
          <w:tcPr>
            <w:tcW w:type="dxa" w:w="4320"/>
            <w:shd w:fill="2E75B6"/>
          </w:tcPr>
          <w:p>
            <w:pPr>
              <w:jc w:val="center"/>
            </w:pPr>
            <w:r/>
            <w:r>
              <w:rPr>
                <w:rFonts w:ascii="Calibri" w:hAnsi="Calibri"/>
                <w:b/>
                <w:color w:val="FFFFFF"/>
                <w:sz w:val="22"/>
              </w:rPr>
              <w:t>Métrica</w:t>
            </w:r>
          </w:p>
        </w:tc>
        <w:tc>
          <w:tcPr>
            <w:tcW w:type="dxa" w:w="4320"/>
            <w:shd w:fill="2E75B6"/>
          </w:tcPr>
          <w:p>
            <w:pPr>
              <w:jc w:val="center"/>
            </w:pPr>
            <w:r/>
            <w:r>
              <w:rPr>
                <w:rFonts w:ascii="Calibri" w:hAnsi="Calibri"/>
                <w:b/>
                <w:color w:val="FFFFFF"/>
                <w:sz w:val="22"/>
              </w:rPr>
              <w:t>Valor</w:t>
            </w:r>
          </w:p>
        </w:tc>
      </w:tr>
      <w:tr>
        <w:tc>
          <w:tcPr>
            <w:tcW w:type="dxa" w:w="4320"/>
          </w:tcPr>
          <w:p>
            <w:pPr>
              <w:jc w:val="center"/>
            </w:pPr>
            <w:r/>
            <w:r>
              <w:rPr>
                <w:rFonts w:ascii="Calibri" w:hAnsi="Calibri"/>
                <w:b w:val="0"/>
                <w:sz w:val="22"/>
              </w:rPr>
              <w:t>Tests ejecutados</w:t>
            </w:r>
          </w:p>
        </w:tc>
        <w:tc>
          <w:tcPr>
            <w:tcW w:type="dxa" w:w="4320"/>
          </w:tcPr>
          <w:p>
            <w:pPr>
              <w:jc w:val="center"/>
            </w:pPr>
            <w:r/>
            <w:r>
              <w:rPr>
                <w:rFonts w:ascii="Calibri" w:hAnsi="Calibri"/>
                <w:b w:val="0"/>
                <w:sz w:val="22"/>
              </w:rPr>
              <w:t>8</w:t>
            </w:r>
          </w:p>
        </w:tc>
      </w:tr>
      <w:tr>
        <w:tc>
          <w:tcPr>
            <w:tcW w:type="dxa" w:w="4320"/>
          </w:tcPr>
          <w:p>
            <w:pPr>
              <w:jc w:val="center"/>
            </w:pPr>
            <w:r/>
            <w:r>
              <w:rPr>
                <w:rFonts w:ascii="Calibri" w:hAnsi="Calibri"/>
                <w:b w:val="0"/>
                <w:sz w:val="22"/>
              </w:rPr>
              <w:t>Tests aprobados</w:t>
            </w:r>
          </w:p>
        </w:tc>
        <w:tc>
          <w:tcPr>
            <w:tcW w:type="dxa" w:w="4320"/>
          </w:tcPr>
          <w:p>
            <w:pPr>
              <w:jc w:val="center"/>
            </w:pPr>
            <w:r/>
            <w:r>
              <w:rPr>
                <w:rFonts w:ascii="Calibri" w:hAnsi="Calibri"/>
                <w:b w:val="0"/>
                <w:sz w:val="22"/>
              </w:rPr>
              <w:t>8</w:t>
            </w:r>
          </w:p>
        </w:tc>
      </w:tr>
      <w:tr>
        <w:tc>
          <w:tcPr>
            <w:tcW w:type="dxa" w:w="4320"/>
          </w:tcPr>
          <w:p>
            <w:pPr>
              <w:jc w:val="center"/>
            </w:pPr>
            <w:r/>
            <w:r>
              <w:rPr>
                <w:rFonts w:ascii="Calibri" w:hAnsi="Calibri"/>
                <w:b w:val="0"/>
                <w:sz w:val="22"/>
              </w:rPr>
              <w:t>Tests fallidos</w:t>
            </w:r>
          </w:p>
        </w:tc>
        <w:tc>
          <w:tcPr>
            <w:tcW w:type="dxa" w:w="4320"/>
          </w:tcPr>
          <w:p>
            <w:pPr>
              <w:jc w:val="center"/>
            </w:pPr>
            <w:r/>
            <w:r>
              <w:rPr>
                <w:rFonts w:ascii="Calibri" w:hAnsi="Calibri"/>
                <w:b w:val="0"/>
                <w:sz w:val="22"/>
              </w:rPr>
              <w:t>0</w:t>
            </w:r>
          </w:p>
        </w:tc>
      </w:tr>
    </w:tbl>
    <w:p/>
    <w:p>
      <w:r>
        <w:t>Resultado: BUILD SUCCESS — Todos los escenarios Cucumber pasaron exitosamente.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