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Simulación Release Manager</w:t>
      </w:r>
    </w:p>
    <w:p>
      <w:r>
        <w:t>José  |  2º DAW  |  Práctica 2</w:t>
      </w:r>
    </w:p>
    <w:p>
      <w:pPr>
        <w:pStyle w:val="Heading1"/>
      </w:pPr>
      <w:r>
        <w:t>Aplicación y objetivo</w:t>
      </w:r>
    </w:p>
    <w:p>
      <w:r>
        <w:t>La aplicación Gestión de entornos de José permite distinguir visualmente las versiones de pruebas técnicas, aceptación de usuario y producción. El objetivo es gestionar cada versión en una rama de Git y publicarla de forma independiente en Vercel.</w:t>
      </w:r>
    </w:p>
    <w:p>
      <w:pPr>
        <w:pStyle w:val="Heading1"/>
      </w:pPr>
      <w:r>
        <w:t>Estructura de la aplicación</w:t>
      </w:r>
    </w:p>
    <w:p>
      <w:r>
        <w:t>El componente principal App importa EntornoComponent y lo muestra mediante la etiqueta app-entorno. El componente anidado contiene el título, la bienvenida y el identificador del entorno. El diseño utiliza HTML y CSS. La aplicación es estática y no utiliza renderizado en servidor.</w:t>
      </w:r>
    </w:p>
    <w:p>
      <w:r>
        <w:t>La carpeta versiones conserva el HTML y el CSS de cada entorno. El script cambiar-entorno.cjs copia la versión elegida al componente. El cambio de rama y el registro de los cambios se realizan por separado con Git.</w:t>
      </w:r>
    </w:p>
    <w:tbl>
      <w:tblPr>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8EEF4"/>
          </w:tcPr>
          <w:p>
            <w:pPr>
              <w:spacing w:before="100" w:after="100"/>
            </w:pPr>
            <w:r>
              <w:t>Rama</w:t>
            </w:r>
          </w:p>
        </w:tc>
        <w:tc>
          <w:tcPr>
            <w:tcW w:type="dxa" w:w="3312"/>
            <w:tcBorders>
              <w:top w:val="single" w:sz="4" w:color="D9D9D9"/>
              <w:left w:val="single" w:sz="4" w:color="D9D9D9"/>
              <w:bottom w:val="single" w:sz="4" w:color="D9D9D9"/>
              <w:right w:val="single" w:sz="4" w:color="D9D9D9"/>
            </w:tcBorders>
            <w:shd w:fill="E8EEF4"/>
          </w:tcPr>
          <w:p>
            <w:pPr>
              <w:spacing w:before="100" w:after="100"/>
            </w:pPr>
            <w:r>
              <w:t>Entorno</w:t>
            </w:r>
          </w:p>
        </w:tc>
        <w:tc>
          <w:tcPr>
            <w:tcW w:type="dxa" w:w="3312"/>
            <w:tcBorders>
              <w:top w:val="single" w:sz="4" w:color="D9D9D9"/>
              <w:left w:val="single" w:sz="4" w:color="D9D9D9"/>
              <w:bottom w:val="single" w:sz="4" w:color="D9D9D9"/>
              <w:right w:val="single" w:sz="4" w:color="D9D9D9"/>
            </w:tcBorders>
            <w:shd w:fill="E8EEF4"/>
          </w:tcPr>
          <w:p>
            <w:pPr>
              <w:spacing w:before="100" w:after="100"/>
            </w:pPr>
            <w:r>
              <w:t>Color</w:t>
            </w:r>
          </w:p>
        </w:tc>
      </w:tr>
      <w:tr>
        <w:tc>
          <w:tcPr>
            <w:tcW w:type="dxa" w:w="3312"/>
            <w:tcBorders>
              <w:top w:val="single" w:sz="4" w:color="D9D9D9"/>
              <w:left w:val="single" w:sz="4" w:color="D9D9D9"/>
              <w:bottom w:val="single" w:sz="4" w:color="D9D9D9"/>
              <w:right w:val="single" w:sz="4" w:color="D9D9D9"/>
            </w:tcBorders>
            <w:shd w:fill="FFFFFF"/>
          </w:tcPr>
          <w:p>
            <w:pPr>
              <w:spacing w:before="100" w:after="100"/>
            </w:pPr>
            <w:r>
              <w:t>main</w:t>
            </w:r>
          </w:p>
        </w:tc>
        <w:tc>
          <w:tcPr>
            <w:tcW w:type="dxa" w:w="3312"/>
            <w:tcBorders>
              <w:top w:val="single" w:sz="4" w:color="D9D9D9"/>
              <w:left w:val="single" w:sz="4" w:color="D9D9D9"/>
              <w:bottom w:val="single" w:sz="4" w:color="D9D9D9"/>
              <w:right w:val="single" w:sz="4" w:color="D9D9D9"/>
            </w:tcBorders>
            <w:shd w:fill="FFFFFF"/>
          </w:tcPr>
          <w:p>
            <w:pPr>
              <w:spacing w:before="100" w:after="100"/>
            </w:pPr>
            <w:r>
              <w:t>Producción</w:t>
            </w:r>
          </w:p>
        </w:tc>
        <w:tc>
          <w:tcPr>
            <w:tcW w:type="dxa" w:w="3312"/>
            <w:tcBorders>
              <w:top w:val="single" w:sz="4" w:color="D9D9D9"/>
              <w:left w:val="single" w:sz="4" w:color="D9D9D9"/>
              <w:bottom w:val="single" w:sz="4" w:color="D9D9D9"/>
              <w:right w:val="single" w:sz="4" w:color="D9D9D9"/>
            </w:tcBorders>
            <w:shd w:fill="FFFFFF"/>
          </w:tcPr>
          <w:p>
            <w:pPr>
              <w:spacing w:before="100" w:after="100"/>
            </w:pPr>
            <w:r>
              <w:t>Verde</w:t>
            </w:r>
          </w:p>
        </w:tc>
      </w:tr>
      <w:tr>
        <w:tc>
          <w:tcPr>
            <w:tcW w:type="dxa" w:w="3312"/>
            <w:tcBorders>
              <w:top w:val="single" w:sz="4" w:color="D9D9D9"/>
              <w:left w:val="single" w:sz="4" w:color="D9D9D9"/>
              <w:bottom w:val="single" w:sz="4" w:color="D9D9D9"/>
              <w:right w:val="single" w:sz="4" w:color="D9D9D9"/>
            </w:tcBorders>
            <w:shd w:fill="FFFFFF"/>
          </w:tcPr>
          <w:p>
            <w:pPr>
              <w:spacing w:before="100" w:after="100"/>
            </w:pPr>
            <w:r>
              <w:t>qa-pending</w:t>
            </w:r>
          </w:p>
        </w:tc>
        <w:tc>
          <w:tcPr>
            <w:tcW w:type="dxa" w:w="3312"/>
            <w:tcBorders>
              <w:top w:val="single" w:sz="4" w:color="D9D9D9"/>
              <w:left w:val="single" w:sz="4" w:color="D9D9D9"/>
              <w:bottom w:val="single" w:sz="4" w:color="D9D9D9"/>
              <w:right w:val="single" w:sz="4" w:color="D9D9D9"/>
            </w:tcBorders>
            <w:shd w:fill="FFFFFF"/>
          </w:tcPr>
          <w:p>
            <w:pPr>
              <w:spacing w:before="100" w:after="100"/>
            </w:pPr>
            <w:r>
              <w:t>QA</w:t>
            </w:r>
          </w:p>
        </w:tc>
        <w:tc>
          <w:tcPr>
            <w:tcW w:type="dxa" w:w="3312"/>
            <w:tcBorders>
              <w:top w:val="single" w:sz="4" w:color="D9D9D9"/>
              <w:left w:val="single" w:sz="4" w:color="D9D9D9"/>
              <w:bottom w:val="single" w:sz="4" w:color="D9D9D9"/>
              <w:right w:val="single" w:sz="4" w:color="D9D9D9"/>
            </w:tcBorders>
            <w:shd w:fill="FFFFFF"/>
          </w:tcPr>
          <w:p>
            <w:pPr>
              <w:spacing w:before="100" w:after="100"/>
            </w:pPr>
            <w:r>
              <w:t>Naranja</w:t>
            </w:r>
          </w:p>
        </w:tc>
      </w:tr>
      <w:tr>
        <w:tc>
          <w:tcPr>
            <w:tcW w:type="dxa" w:w="3312"/>
            <w:tcBorders>
              <w:top w:val="single" w:sz="4" w:color="D9D9D9"/>
              <w:left w:val="single" w:sz="4" w:color="D9D9D9"/>
              <w:bottom w:val="single" w:sz="4" w:color="D9D9D9"/>
              <w:right w:val="single" w:sz="4" w:color="D9D9D9"/>
            </w:tcBorders>
            <w:shd w:fill="FFFFFF"/>
          </w:tcPr>
          <w:p>
            <w:pPr>
              <w:spacing w:before="100" w:after="100"/>
            </w:pPr>
            <w:r>
              <w:t>uat-pending</w:t>
            </w:r>
          </w:p>
        </w:tc>
        <w:tc>
          <w:tcPr>
            <w:tcW w:type="dxa" w:w="3312"/>
            <w:tcBorders>
              <w:top w:val="single" w:sz="4" w:color="D9D9D9"/>
              <w:left w:val="single" w:sz="4" w:color="D9D9D9"/>
              <w:bottom w:val="single" w:sz="4" w:color="D9D9D9"/>
              <w:right w:val="single" w:sz="4" w:color="D9D9D9"/>
            </w:tcBorders>
            <w:shd w:fill="FFFFFF"/>
          </w:tcPr>
          <w:p>
            <w:pPr>
              <w:spacing w:before="100" w:after="100"/>
            </w:pPr>
            <w:r>
              <w:t>UAT</w:t>
            </w:r>
          </w:p>
        </w:tc>
        <w:tc>
          <w:tcPr>
            <w:tcW w:type="dxa" w:w="3312"/>
            <w:tcBorders>
              <w:top w:val="single" w:sz="4" w:color="D9D9D9"/>
              <w:left w:val="single" w:sz="4" w:color="D9D9D9"/>
              <w:bottom w:val="single" w:sz="4" w:color="D9D9D9"/>
              <w:right w:val="single" w:sz="4" w:color="D9D9D9"/>
            </w:tcBorders>
            <w:shd w:fill="FFFFFF"/>
          </w:tcPr>
          <w:p>
            <w:pPr>
              <w:spacing w:before="100" w:after="100"/>
            </w:pPr>
            <w:r>
              <w:t>Azul</w:t>
            </w:r>
          </w:p>
        </w:tc>
      </w:tr>
    </w:tbl>
    <w:p>
      <w:pPr>
        <w:pStyle w:val="Heading1"/>
      </w:pPr>
      <w:r>
        <w:t>Proceso para publicar</w:t>
      </w:r>
    </w:p>
    <w:p>
      <w:pPr>
        <w:pStyle w:val="ListNumber"/>
      </w:pPr>
      <w:r>
        <w:t>Inicializar Git, configurar la identidad y guardar la versión de producción en main. Crear el repositorio practica-entornos en GitHub y subir el proyecto.</w:t>
      </w:r>
    </w:p>
    <w:p>
      <w:pPr>
        <w:pStyle w:val="ListNumber"/>
      </w:pPr>
      <w:r>
        <w:t>Importar el repositorio en Vercel y configurar main como rama de producción. Compilar con npm run build y publicar dist/practica-entornos/browser.</w:t>
      </w:r>
    </w:p>
    <w:p>
      <w:pPr>
        <w:pStyle w:val="ListNumber"/>
      </w:pPr>
      <w:r>
        <w:t>Crear qa-pending y uat-pending desde main. Aplicar los archivos correspondientes, compilar, hacer commit y subir cada rama para generar sus previews.</w:t>
      </w:r>
    </w:p>
    <w:p>
      <w:pPr>
        <w:pStyle w:val="ListNumber"/>
      </w:pPr>
      <w:r>
        <w:t>Comprobar las tres URL en incógnito, recopilar capturas y registrar el avance de las tareas en Trello.</w:t>
      </w:r>
    </w:p>
    <w:p>
      <w:r>
        <w:br w:type="page"/>
      </w:r>
    </w:p>
    <w:p>
      <w:pPr>
        <w:pStyle w:val="Title"/>
      </w:pPr>
      <w:r>
        <w:t>Enlaces y evidencias</w:t>
      </w:r>
    </w:p>
    <w:p>
      <w:r>
        <w:t>Completar este apartado tras realizar y comprobar las publicaciones. Los campos pendientes no acreditan una entrega terminada.</w:t>
      </w:r>
    </w:p>
    <w:p>
      <w:r>
        <w:rPr>
          <w:b/>
        </w:rPr>
        <w:t xml:space="preserve">Cuenta de GitHub: </w:t>
      </w:r>
      <w:r>
        <w:t>https://github.com/Joseee-14/</w:t>
      </w:r>
    </w:p>
    <w:p>
      <w:r>
        <w:rPr>
          <w:b/>
        </w:rPr>
        <w:t xml:space="preserve">Repositorio: </w:t>
      </w:r>
      <w:r>
        <w:t>https://github.com/Joseee-14/practica-entornos (pendiente de subir el proyecto).</w:t>
      </w:r>
    </w:p>
    <w:p>
      <w:r>
        <w:rPr>
          <w:b/>
        </w:rPr>
        <w:t xml:space="preserve">URL de producción: </w:t>
      </w:r>
      <w:r>
        <w:t>PENDIENTE</w:t>
      </w:r>
    </w:p>
    <w:p>
      <w:r>
        <w:rPr>
          <w:b/>
        </w:rPr>
        <w:t xml:space="preserve">URL fija de QA: </w:t>
      </w:r>
      <w:r>
        <w:t>PENDIENTE</w:t>
      </w:r>
    </w:p>
    <w:p>
      <w:r>
        <w:rPr>
          <w:b/>
        </w:rPr>
        <w:t xml:space="preserve">URL fija de UAT: </w:t>
      </w:r>
      <w:r>
        <w:t>PENDIENTE</w:t>
      </w:r>
    </w:p>
    <w:p>
      <w:r>
        <w:rPr>
          <w:b/>
        </w:rPr>
        <w:t xml:space="preserve">Tablero de Trello: </w:t>
      </w:r>
      <w:r>
        <w:t>PENDIENTE</w:t>
      </w:r>
    </w:p>
    <w:p>
      <w:pPr>
        <w:pStyle w:val="Heading1"/>
      </w:pPr>
      <w:r>
        <w:t>Capturas que se deben incorporar</w:t>
      </w:r>
    </w:p>
    <w:p>
      <w:pPr>
        <w:pStyle w:val="ListBullet"/>
      </w:pPr>
      <w:r>
        <w:t>Las tres ramas visibles en GitHub.</w:t>
      </w:r>
    </w:p>
    <w:p>
      <w:pPr>
        <w:pStyle w:val="ListBullet"/>
      </w:pPr>
      <w:r>
        <w:t>Entorno de producción funcionando, con mensaje, color verde y URL visibles.</w:t>
      </w:r>
    </w:p>
    <w:p>
      <w:pPr>
        <w:pStyle w:val="ListBullet"/>
      </w:pPr>
      <w:r>
        <w:t>Entorno QA funcionando, con mensaje, color naranja y URL visibles.</w:t>
      </w:r>
    </w:p>
    <w:p>
      <w:pPr>
        <w:pStyle w:val="ListBullet"/>
      </w:pPr>
      <w:r>
        <w:t>Entorno UAT funcionando, con mensaje, color azul y URL visibles.</w:t>
      </w:r>
    </w:p>
    <w:p>
      <w:pPr>
        <w:pStyle w:val="ListBullet"/>
      </w:pPr>
      <w:r>
        <w:t>Historial de commits de las tres ramas, con mensajes claros.</w:t>
      </w:r>
    </w:p>
    <w:p>
      <w:pPr>
        <w:pStyle w:val="ListBullet"/>
      </w:pPr>
      <w:r>
        <w:t>Tablero Trello con las seis listas, tarjetas con descripciones y actividad de movimiento.</w:t>
      </w:r>
    </w:p>
    <w:p>
      <w:pPr>
        <w:pStyle w:val="Heading1"/>
      </w:pPr>
      <w:r>
        <w:t>Organización del trabajo</w:t>
      </w:r>
    </w:p>
    <w:p>
      <w:r>
        <w:t>El tablero debe llamarse Práctica DAW: Gestión de entornos Angular. Las listas, en orden, son Backlog, To Do, In Progress, QA, UAT y Done. El archivo TRELLO.txt contiene las tarjetas y sus descripciones. Su estado debe reflejar el trabajo realizado.</w:t>
      </w:r>
    </w:p>
    <w:p>
      <w:pPr>
        <w:pStyle w:val="Heading1"/>
      </w:pPr>
      <w:r>
        <w:t>Aclaración sobre gitignore</w:t>
      </w:r>
    </w:p>
    <w:p>
      <w:r>
        <w:t>El enunciado pide añadir el componente a .gitignore. Esa regla no impide detectar cambios en archivos que Git ya sigue. Se debe conservar el componente en las tres ramas para que Vercel pueda compilar. Añadir la regla cumple la modificación literal del archivo, pero no congela el componente. Dejar de versionarlo exigiría otra solución que lo generase durante la compilación.</w:t>
      </w:r>
    </w:p>
    <w:p>
      <w:r>
        <w:t>Referencia técnica: https://git-scm.com/docs/gitignore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Release Manager</dc:title>
  <dc:subject/>
  <dc:creator>José</dc:creator>
  <cp:keywords/>
  <dc:description>generated by python-docx</dc:description>
  <cp:lastModifiedBy/>
  <cp:revision>1</cp:revision>
  <dcterms:created xsi:type="dcterms:W3CDTF">2013-12-23T23:15:00Z</dcterms:created>
  <dcterms:modified xsi:type="dcterms:W3CDTF">2013-12-23T23:15:00Z</dcterms:modified>
  <cp:category/>
</cp:coreProperties>
</file>