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28"/>
          <w:szCs w:val="28"/>
        </w:rPr>
        <w:t xml:space="preserve">Anlage 1</w:t>
      </w:r>
    </w:p>
    <w:p>
      <w:pPr>
        <w:pBdr>
          <w:bottom w:val="single" w:color="999999" w:sz="6" w:space="8"/>
        </w:pBdr>
        <w:spacing w:after="240"/>
      </w:pPr>
      <w:r>
        <w:rPr>
          <w:sz w:val="24"/>
          <w:szCs w:val="24"/>
        </w:rPr>
        <w:t xml:space="preserve">Effektive AI-Richtlinie für das Konto 579138738703</w:t>
      </w:r>
    </w:p>
    <w:p>
      <w:pPr>
        <w:spacing w:after="240" w:before="200" w:line="240" w:lineRule="auto"/>
      </w:pPr>
      <w:r>
        <w:drawing>
          <wp:inline distT="0" distB="0" distL="0" distR="0">
            <wp:extent cx="61245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4352925"/>
                    </a:xfrm>
                    <a:prstGeom prst="rect">
                      <a:avLst/>
                    </a:prstGeom>
                  </pic:spPr>
                </pic:pic>
              </a:graphicData>
            </a:graphic>
          </wp:inline>
        </w:drawing>
      </w:r>
    </w:p>
    <w:p>
      <w:pPr>
        <w:spacing w:before="120"/>
      </w:pPr>
      <w:r>
        <w:rPr>
          <w:i/>
          <w:iCs/>
          <w:sz w:val="20"/>
          <w:szCs w:val="20"/>
        </w:rPr>
        <w:t xml:space="preserve">AWS Organizations, Reiter „Richtlinien“ des Kontos, Ansicht „Effektive AI-Richtlinie“. Stand der Richtlinie laut Anzeige: 14.10.2026, 17:11:54 Uhr MESZ. Keine Validierungsprobleme.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w:t>
      </w:r>
    </w:p>
    <w:p>
      <w:pPr>
        <w:pBdr>
          <w:bottom w:val="single" w:color="999999" w:sz="6" w:space="8"/>
        </w:pBdr>
        <w:spacing w:after="240"/>
      </w:pPr>
      <w:r>
        <w:rPr>
          <w:sz w:val="24"/>
          <w:szCs w:val="24"/>
        </w:rPr>
        <w:t xml:space="preserve">Angewendete Richtlinien am Konto — Quelle „Verknüpft mit Root“</w:t>
      </w:r>
    </w:p>
    <w:p>
      <w:pPr>
        <w:spacing w:after="240" w:before="200" w:line="240" w:lineRule="auto"/>
      </w:pPr>
      <w:r>
        <w:drawing>
          <wp:inline distT="0" distB="0" distL="0" distR="0">
            <wp:extent cx="612457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257550"/>
                    </a:xfrm>
                    <a:prstGeom prst="rect">
                      <a:avLst/>
                    </a:prstGeom>
                  </pic:spPr>
                </pic:pic>
              </a:graphicData>
            </a:graphic>
          </wp:inline>
        </w:drawing>
      </w:r>
    </w:p>
    <w:p>
      <w:pPr>
        <w:spacing w:before="120"/>
      </w:pPr>
      <w:r>
        <w:rPr>
          <w:i/>
          <w:iCs/>
          <w:sz w:val="20"/>
          <w:szCs w:val="20"/>
        </w:rPr>
        <w:t xml:space="preserve">AWS Organizations, Konto 579138738703, Abschnitt „Abmelderichtlinien für KI-Services“. Die Richtlinie jusperfect-keine-ki-nutzung ist dem Konto über die Stammorganisation zugeordnet.</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2a</w:t>
      </w:r>
    </w:p>
    <w:p>
      <w:pPr>
        <w:pBdr>
          <w:bottom w:val="single" w:color="999999" w:sz="6" w:space="8"/>
        </w:pBdr>
        <w:spacing w:after="240"/>
      </w:pPr>
      <w:r>
        <w:rPr>
          <w:sz w:val="24"/>
          <w:szCs w:val="24"/>
        </w:rPr>
        <w:t xml:space="preserve">Die Richtlinie jusperfect-keine-ki-nutzung und ihr Inhalt</w:t>
      </w:r>
    </w:p>
    <w:p>
      <w:pPr>
        <w:spacing w:after="240" w:before="200" w:line="240" w:lineRule="auto"/>
      </w:pPr>
      <w:r>
        <w:drawing>
          <wp:inline distT="0" distB="0" distL="0" distR="0">
            <wp:extent cx="6124575"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714875"/>
                    </a:xfrm>
                    <a:prstGeom prst="rect">
                      <a:avLst/>
                    </a:prstGeom>
                  </pic:spPr>
                </pic:pic>
              </a:graphicData>
            </a:graphic>
          </wp:inline>
        </w:drawing>
      </w:r>
    </w:p>
    <w:p>
      <w:pPr>
        <w:spacing w:before="120"/>
      </w:pPr>
      <w:r>
        <w:rPr>
          <w:i/>
          <w:iCs/>
          <w:sz w:val="20"/>
          <w:szCs w:val="20"/>
        </w:rPr>
        <w:t xml:space="preserve">Bestätigung der Zuordnung an das Stammverzeichnis sowie der Richtlinieninhalt (services/default/opt_out_policy = optOut).</w:t>
      </w:r>
    </w:p>
    <w:p>
      <w:pPr>
        <w:spacing w:before="80"/>
      </w:pPr>
      <w:r>
        <w:rPr>
          <w:color w:val="666666"/>
          <w:sz w:val="18"/>
          <w:szCs w:val="18"/>
        </w:rPr>
        <w:t xml:space="preserve">Bildschirmausdruck vom 14.10.2026, Kanzlei Dortschy &amp; Thunert — Anlage zum Aktenvermerk gleichen Datums.</w:t>
      </w:r>
    </w:p>
    <w:p>
      <w:pPr>
        <w:sectPr>
          <w:pgSz w:w="11906" w:h="16838" w:orient="portrait"/>
          <w:pgMar w:top="1134" w:right="1134" w:bottom="1134" w:left="1134" w:header="708" w:footer="708" w:gutter="0"/>
          <w:pgNumType/>
          <w:docGrid w:linePitch="360"/>
        </w:sectPr>
      </w:pP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1 von 3)</w:t>
      </w:r>
    </w:p>
    <w:p>
      <w:pPr>
        <w:spacing w:after="240" w:before="200" w:line="240" w:lineRule="auto"/>
      </w:pPr>
      <w:r>
        <w:drawing>
          <wp:inline distT="0" distB="0" distL="0" distR="0">
            <wp:extent cx="9248775"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3667125"/>
                    </a:xfrm>
                    <a:prstGeom prst="rect">
                      <a:avLst/>
                    </a:prstGeom>
                  </pic:spPr>
                </pic:pic>
              </a:graphicData>
            </a:graphic>
          </wp:inline>
        </w:drawing>
      </w:r>
    </w:p>
    <w:p>
      <w:pPr>
        <w:spacing w:before="120"/>
      </w:pPr>
      <w:r>
        <w:rPr>
          <w:i/>
          <w:iCs/>
          <w:sz w:val="20"/>
          <w:szCs w:val="20"/>
        </w:rPr>
        <w:t xml:space="preserve">Zehn Einträge, sämtlich inaktiv. Der Hinweis oben betrifft die am 14.10.2026 angelegte Organisation. Keine der Vereinbarungen ist für die Kanzlei einschlägig; keine wurde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2 von 3)</w:t>
      </w:r>
    </w:p>
    <w:p>
      <w:pPr>
        <w:spacing w:after="240" w:before="200" w:line="240" w:lineRule="auto"/>
      </w:pPr>
      <w:r>
        <w:drawing>
          <wp:inline distT="0" distB="0" distL="0" distR="0">
            <wp:extent cx="92487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248775" cy="37528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3 von 3)</w:t>
      </w:r>
    </w:p>
    <w:p>
      <w:pPr>
        <w:spacing w:after="240" w:before="200" w:line="240" w:lineRule="auto"/>
      </w:pPr>
      <w:r>
        <w:drawing>
          <wp:inline distT="0" distB="0" distL="0" distR="0">
            <wp:extent cx="9248775"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48775" cy="385762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1 von 3)</w:t>
      </w:r>
    </w:p>
    <w:p>
      <w:pPr>
        <w:spacing w:after="240" w:before="200" w:line="240" w:lineRule="auto"/>
      </w:pPr>
      <w:r>
        <w:drawing>
          <wp:inline distT="0" distB="0" distL="0" distR="0">
            <wp:extent cx="92487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3019425"/>
                    </a:xfrm>
                    <a:prstGeom prst="rect">
                      <a:avLst/>
                    </a:prstGeom>
                  </pic:spPr>
                </pic:pic>
              </a:graphicData>
            </a:graphic>
          </wp:inline>
        </w:drawing>
      </w:r>
    </w:p>
    <w:p>
      <w:pPr>
        <w:spacing w:before="120"/>
      </w:pPr>
      <w:r>
        <w:rPr>
          <w:i/>
          <w:iCs/>
          <w:sz w:val="20"/>
          <w:szCs w:val="20"/>
        </w:rPr>
        <w:t xml:space="preserve">Fünf Einträge, sämtlich inaktiv. Auch hier ist keine Vereinbarung einschlägig oder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2 von 3)</w:t>
      </w:r>
    </w:p>
    <w:p>
      <w:pPr>
        <w:spacing w:after="240" w:before="200" w:line="240" w:lineRule="auto"/>
      </w:pPr>
      <w:r>
        <w:drawing>
          <wp:inline distT="0" distB="0" distL="0" distR="0">
            <wp:extent cx="924877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248775" cy="277177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3 von 3)</w:t>
      </w:r>
    </w:p>
    <w:p>
      <w:pPr>
        <w:spacing w:after="240" w:before="200" w:line="240" w:lineRule="auto"/>
      </w:pPr>
      <w:r>
        <w:drawing>
          <wp:inline distT="0" distB="0" distL="0" distR="0">
            <wp:extent cx="85344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34400" cy="43243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pPr>
        <w:sectPr>
          <w:pgSz w:w="16838" w:h="11906" w:orient="landscape"/>
          <w:pgMar w:top="1134" w:right="1134" w:bottom="1134" w:left="1134" w:header="708" w:footer="708" w:gutter="0"/>
          <w:pgNumType/>
          <w:docGrid w:linePitch="360"/>
        </w:sectPr>
      </w:pPr>
    </w:p>
    <w:p>
      <w:pPr>
        <w:spacing w:after="80"/>
      </w:pPr>
      <w:r>
        <w:rPr>
          <w:b/>
          <w:bCs/>
          <w:sz w:val="28"/>
          <w:szCs w:val="28"/>
        </w:rPr>
        <w:t xml:space="preserve">Anlage 14</w:t>
      </w:r>
    </w:p>
    <w:p>
      <w:pPr>
        <w:pBdr>
          <w:bottom w:val="single" w:color="999999" w:sz="6" w:space="8"/>
        </w:pBdr>
        <w:spacing w:after="240"/>
      </w:pPr>
      <w:r>
        <w:rPr>
          <w:sz w:val="24"/>
          <w:szCs w:val="24"/>
        </w:rPr>
        <w:t xml:space="preserve">Vertraulichkeitsbedingungen für den Abruf der SOC-Berichte</w:t>
      </w:r>
    </w:p>
    <w:p>
      <w:pPr>
        <w:spacing w:after="240" w:before="200" w:line="240" w:lineRule="auto"/>
      </w:pPr>
      <w:r>
        <w:drawing>
          <wp:inline distT="0" distB="0" distL="0" distR="0">
            <wp:extent cx="6124575"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6200775"/>
                    </a:xfrm>
                    <a:prstGeom prst="rect">
                      <a:avLst/>
                    </a:prstGeom>
                  </pic:spPr>
                </pic:pic>
              </a:graphicData>
            </a:graphic>
          </wp:inline>
        </w:drawing>
      </w:r>
    </w:p>
    <w:p>
      <w:pPr>
        <w:spacing w:before="120"/>
      </w:pPr>
      <w:r>
        <w:rPr>
          <w:i/>
          <w:iCs/>
          <w:sz w:val="20"/>
          <w:szCs w:val="20"/>
        </w:rPr>
        <w:t xml:space="preserve">Der Dialog „Bedingungen zum Herunterladen des Berichts akzeptieren“, wie er beim Abruf des ersten SOC-Berichts angezeigt wurde. Ob der sichtbare Text vollständig ist, lässt sich an der Aufnahme nicht abschließend feststellen (Bildlaufleiste rechts). Der maßgebliche Wortlaut ist über die Schaltfläche „Bedingungen ausdrucken“ zu beziehen und dieser Anlage nachzureichen.</w:t>
      </w:r>
    </w:p>
    <w:p>
      <w:pPr>
        <w:spacing w:before="80"/>
      </w:pPr>
      <w:r>
        <w:rPr>
          <w:color w:val="666666"/>
          <w:sz w:val="18"/>
          <w:szCs w:val="18"/>
        </w:rPr>
        <w:t xml:space="preserve">Bildschirmausdruck vom 14.10.2026, Kanzlei Dortschy &amp; Thunert — Anlage zum Aktenvermerk gleichen Datums.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65daf7119f3f5a818d28d1fcebe4779213dbb.png"/><Relationship Id="rId8" Type="http://schemas.openxmlformats.org/officeDocument/2006/relationships/image" Target="media/46ee84f1322831a9f7e994a0e8c7333c4cfa2e5a.png"/><Relationship Id="rId9" Type="http://schemas.openxmlformats.org/officeDocument/2006/relationships/image" Target="media/38e2f041c4a13f9a49a70b8ea8d0910c2e73e867.png"/><Relationship Id="rId10" Type="http://schemas.openxmlformats.org/officeDocument/2006/relationships/image" Target="media/ddadb45e8a3ead2b5f48958315a585d7cfcb0ac5.png"/><Relationship Id="rId11" Type="http://schemas.openxmlformats.org/officeDocument/2006/relationships/image" Target="media/8cf1f50f03d27e7c7fe39156165b3fe06b693af8.png"/><Relationship Id="rId12" Type="http://schemas.openxmlformats.org/officeDocument/2006/relationships/image" Target="media/0c40338f568a597ea5de8b11ad1d0c999af33292.png"/><Relationship Id="rId13" Type="http://schemas.openxmlformats.org/officeDocument/2006/relationships/image" Target="media/4674de1cdb794a14074b6fe379e278ff633175da.png"/><Relationship Id="rId14" Type="http://schemas.openxmlformats.org/officeDocument/2006/relationships/image" Target="media/be744575e43e9b5e4d0659bcb9bdc09ee65d4450.png"/><Relationship Id="rId15" Type="http://schemas.openxmlformats.org/officeDocument/2006/relationships/image" Target="media/0f8c608ef935a1bdcf3e4915507d3f40eeb2ee57.png"/><Relationship Id="rId16" Type="http://schemas.openxmlformats.org/officeDocument/2006/relationships/image" Target="media/11e9a94ddc96dcb0fe08606ea2157c71fba6c2f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Anlagen zum Aktenvermerk AWS vom 14.10.2026</dc:title>
  <dc:creator>Kanzlei Dortschy &amp; Thunert</dc:creator>
  <dc:description>Bildschirmausdrucke zu den Anlagen 1 bis 3</dc:description>
  <cp:lastModifiedBy>Un-named</cp:lastModifiedBy>
  <cp:revision>1</cp:revision>
  <dcterms:created xsi:type="dcterms:W3CDTF">2026-10-14T17:06:47.347Z</dcterms:created>
  <dcterms:modified xsi:type="dcterms:W3CDTF">2026-10-14T17:06:47.347Z</dcterms:modified>
</cp:coreProperties>
</file>

<file path=docProps/custom.xml><?xml version="1.0" encoding="utf-8"?>
<Properties xmlns="http://schemas.openxmlformats.org/officeDocument/2006/custom-properties" xmlns:vt="http://schemas.openxmlformats.org/officeDocument/2006/docPropsVTypes"/>
</file>