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Einweisung zur Arbeit mit jusperfect</w:t>
      </w:r>
    </w:p>
    <w:p>
      <w:pPr>
        <w:spacing w:after="140"/>
      </w:pPr>
      <w:r>
        <w:rPr>
          <w:b/>
          <w:bCs/>
        </w:rPr>
        <w:t xml:space="preserve">Kanzlei Dortschy &amp; Thunert</w:t>
      </w:r>
    </w:p>
    <w:p>
      <w:pPr>
        <w:spacing w:after="140"/>
      </w:pPr>
      <w:r>
        <w:rPr>
          <w:b/>
          <w:bCs/>
        </w:rPr>
        <w:t xml:space="preserve">Stand: 15. Oktober 2026</w:t>
      </w:r>
      <w:r>
        <w:t xml:space="preserve"> (zweite Fassung dieses Tages). Gilt für alle, die mit jusperfect arbeiten.</w:t>
      </w:r>
    </w:p>
    <w:p>
      <w:pPr>
        <w:spacing w:after="140"/>
      </w:pPr>
      <w:r>
        <w:t xml:space="preserve">Dieses Blatt sammelt die Regeln, die sich </w:t>
      </w:r>
      <w:r>
        <w:rPr>
          <w:b/>
          <w:bCs/>
        </w:rPr>
        <w:t xml:space="preserve">nicht</w:t>
      </w:r>
      <w:r>
        <w:t xml:space="preserve"> aus der Bedienung ergeben und die das Programm auch nicht erzwingen kann. Wer sie nicht kennt, macht nichts falsch im Sinne der Bedienung — und verletzt doch eine Pflicht aus der Datenschutz-Folgenabschätzung.</w:t>
      </w:r>
    </w:p>
    <w:p>
      <w:pPr>
        <w:pBdr>
          <w:bottom w:val="single" w:color="999999" w:sz="6" w:space="8"/>
        </w:pBdr>
        <w:spacing w:after="200" w:before="200"/>
      </w:pPr>
    </w:p>
    <w:p>
      <w:pPr>
        <w:pStyle w:val="Heading1"/>
        <w:spacing w:after="150" w:before="380"/>
      </w:pPr>
      <w:r>
        <w:t xml:space="preserve">Regel 1 — Das Modell wird nicht ohne Prüfung gewechselt</w:t>
      </w:r>
    </w:p>
    <w:p>
      <w:pPr>
        <w:spacing w:after="140"/>
      </w:pPr>
      <w:r>
        <w:rPr>
          <w:b/>
          <w:bCs/>
        </w:rPr>
        <w:t xml:space="preserve">Eingestellt ist </w:t>
      </w:r>
      <w:r>
        <w:rPr>
          <w:rFonts w:ascii="Consolas" w:cs="Consolas" w:eastAsia="Consolas" w:hAnsi="Consolas"/>
          <w:b/>
          <w:bCs/>
        </w:rPr>
        <w:t xml:space="preserve">claude-opus-4-6-v1</w:t>
      </w:r>
      <w:r>
        <w:rPr>
          <w:b/>
          <w:bCs/>
        </w:rPr>
        <w:t xml:space="preserve">.</w:t>
      </w:r>
      <w:r>
        <w:t xml:space="preserve"> Dabei bleibt es, bis jemand die Prüfung unten gemacht hat.</w:t>
      </w:r>
    </w:p>
    <w:p>
      <w:pPr>
        <w:pStyle w:val="Heading2"/>
        <w:spacing w:after="120" w:before="280"/>
      </w:pPr>
      <w:r>
        <w:t xml:space="preserve">Warum</w:t>
      </w:r>
    </w:p>
    <w:p>
      <w:pPr>
        <w:spacing w:after="140"/>
      </w:pPr>
      <w:r>
        <w:t xml:space="preserve">AWS führt eine Seite, auf der Modelle </w:t>
      </w:r>
      <w:r>
        <w:rPr>
          <w:b/>
          <w:bCs/>
        </w:rPr>
        <w:t xml:space="preserve">namentlich</w:t>
      </w:r>
      <w:r>
        <w:t xml:space="preserve"> genannt sind, bei denen Eingaben und Ausgaben </w:t>
      </w:r>
      <w:r>
        <w:rPr>
          <w:b/>
          <w:bCs/>
        </w:rPr>
        <w:t xml:space="preserve">bis zu 30 Tage aufbewahrt</w:t>
      </w:r>
      <w:r>
        <w:t xml:space="preserve"> werden — bei einigen der gesamte Verkehr, mit der Möglichkeit einer </w:t>
      </w:r>
      <w:r>
        <w:rPr>
          <w:b/>
          <w:bCs/>
        </w:rPr>
        <w:t xml:space="preserve">Durchsicht durch Mitarbeiter von AWS</w:t>
      </w:r>
      <w:r>
        <w:t xml:space="preserve">. Das betrifft dann den Akteninhalt, der an das Modell geht.</w:t>
      </w:r>
    </w:p>
    <w:p>
      <w:pPr>
        <w:spacing w:after="140"/>
      </w:pPr>
      <w:r>
        <w:rPr>
          <w:b/>
          <w:bCs/>
        </w:rPr>
        <w:t xml:space="preserve">Unser Modell steht nicht darauf.</w:t>
      </w:r>
      <w:r>
        <w:t xml:space="preserve"> Für es gilt das Zero-Operator-Access-Modell: nichts wird aufbewahrt, nichts wird mitgelesen. Das ist der Grund, warum die Folgenabschätzung an dieser Stelle keine Aufbewahrung ausweisen muss.</w:t>
      </w:r>
    </w:p>
    <w:p>
      <w:pPr>
        <w:spacing w:after="140"/>
      </w:pPr>
      <w:r>
        <w:t xml:space="preserve">Ein anderes Modell kann das ändern — ohne dass sich an der Bedienung etwas ändert und ohne dass eine Meldung erscheint.</w:t>
      </w:r>
    </w:p>
    <w:p>
      <w:pPr>
        <w:pStyle w:val="Heading2"/>
        <w:spacing w:after="120" w:before="280"/>
      </w:pPr>
      <w:r>
        <w:t xml:space="preserve">Diese beiden Modelle nicht verwenden</w:t>
      </w:r>
    </w:p>
    <w:p>
      <w:pPr>
        <w:spacing w:after="140"/>
      </w:pPr>
      <w:r>
        <w:rPr>
          <w:b/>
          <w:bCs/>
        </w:rPr>
        <w:t xml:space="preserve">Claude Fable 5</w:t>
      </w:r>
      <w:r>
        <w:t xml:space="preserve"> und </w:t>
      </w:r>
      <w:r>
        <w:rPr>
          <w:b/>
          <w:bCs/>
        </w:rPr>
        <w:t xml:space="preserve">Claude Fable 5.1.</w:t>
      </w:r>
      <w:r>
        <w:t xml:space="preserve"> Sie stehen auf der Seite: </w:t>
      </w:r>
      <w:r>
        <w:rPr>
          <w:b/>
          <w:bCs/>
        </w:rPr>
        <w:t xml:space="preserve">aller</w:t>
      </w:r>
      <w:r>
        <w:t xml:space="preserve"> Verkehr wird bis zu 30 Tage aufbewahrt, aufgefallener kann von </w:t>
      </w:r>
      <w:r>
        <w:rPr>
          <w:b/>
          <w:bCs/>
        </w:rPr>
        <w:t xml:space="preserve">Menschen bei AWS</w:t>
      </w:r>
      <w:r>
        <w:t xml:space="preserve"> durchgesehen werden. Stand 14.10.2026, Anlage 17 zum Aktenvermerk gleichen Datums.</w:t>
      </w:r>
    </w:p>
    <w:p>
      <w:pPr>
        <w:spacing w:after="140"/>
      </w:pPr>
      <w:r>
        <w:t xml:space="preserve">Das steht hier mit Namen, weil die Modellliste in der AWS-Konsole davon </w:t>
      </w:r>
      <w:r>
        <w:rPr>
          <w:b/>
          <w:bCs/>
        </w:rPr>
        <w:t xml:space="preserve">nichts</w:t>
      </w:r>
      <w:r>
        <w:t xml:space="preserve"> sagt. Dort wird Fable 5.1 als das stärkste Modell für „enterprise knowledge work" beschrieben — also als genau das, was eine Kanzlei zu brauchen glaubt. Wer nach dieser Beschreibung auswählt, wählt das Falsche.</w:t>
      </w:r>
    </w:p>
    <w:p>
      <w:pPr>
        <w:spacing w:after="140"/>
      </w:pPr>
      <w:r>
        <w:rPr>
          <w:b/>
          <w:bCs/>
        </w:rPr>
        <w:t xml:space="preserve">Claude Mythos 5</w:t>
      </w:r>
      <w:r>
        <w:t xml:space="preserve"> und </w:t>
      </w:r>
      <w:r>
        <w:rPr>
          <w:b/>
          <w:bCs/>
        </w:rPr>
        <w:t xml:space="preserve">Claude Mythos 5.1</w:t>
      </w:r>
      <w:r>
        <w:t xml:space="preserve"> sind nach dem 14.10.2026 hinzugekommen; ob sie auf der Seite stehen, ist </w:t>
      </w:r>
      <w:r>
        <w:rPr>
          <w:b/>
          <w:bCs/>
        </w:rPr>
        <w:t xml:space="preserve">nicht geprüft</w:t>
      </w:r>
      <w:r>
        <w:t xml:space="preserve">. Vor jeder Verwendung nachsehen.</w:t>
      </w:r>
    </w:p>
    <w:p>
      <w:pPr>
        <w:spacing w:after="140"/>
      </w:pPr>
      <w:r>
        <w:t xml:space="preserve">Von den übrigen Claude-Modellen stand am 14.10.2026 keines auf der Seite. </w:t>
      </w:r>
      <w:r>
        <w:rPr>
          <w:b/>
          <w:bCs/>
        </w:rPr>
        <w:t xml:space="preserve">Das ist kein Freibrief:</w:t>
      </w:r>
      <w:r>
        <w:t xml:space="preserve"> Die Seite ändert sich ohne Ankündigung, und die Prüfung unten ersetzt diese Liste nicht — sie ist nur der Vorsprung für den, der es eilig hat.</w:t>
      </w:r>
    </w:p>
    <w:p>
      <w:pPr>
        <w:pStyle w:val="Heading2"/>
        <w:spacing w:after="120" w:before="280"/>
      </w:pPr>
      <w:r>
        <w:t xml:space="preserve">Was zu tun ist, bevor ein Modell gewechselt wird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Die Seite </w:t>
      </w:r>
      <w:r>
        <w:rPr>
          <w:b/>
          <w:bCs/>
        </w:rPr>
        <w:t xml:space="preserve">„Amazon Bedrock abuse detection"</w:t>
      </w:r>
      <w:r>
        <w:t xml:space="preserve"> im Amazon Bedrock User Guide aufrufen und nachsehen, ob das neue Modell dort genannt ist. Der Wortlaut vom 14.10.2026 liegt als Anlage 17 zum Aktenvermerk gleichen Datums in der Datenschutzakte.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Steht es darauf: nicht verwenden</w:t>
      </w:r>
      <w:r>
        <w:t xml:space="preserve">, jedenfalls nicht für Mandatsakten.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Steht es nicht darauf: nachsehen, ob es </w:t>
      </w:r>
      <w:r>
        <w:rPr>
          <w:b/>
          <w:bCs/>
        </w:rPr>
        <w:t xml:space="preserve">in Frankfurt</w:t>
      </w:r>
      <w:r>
        <w:t xml:space="preserve"> und über das </w:t>
      </w:r>
      <w:r>
        <w:rPr>
          <w:b/>
          <w:bCs/>
        </w:rPr>
        <w:t xml:space="preserve">EU-Inferenzprofil</w:t>
      </w:r>
      <w:r>
        <w:t xml:space="preserve"> läuft. Was es dort nicht gibt, gibt es für uns nicht — die Zusage, dass die Verarbeitung die EU nicht verlässt, steht in der Folgenabschätzung und in der Klausel, die die Mandantschaft unterschreibt.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Erst dann wechseln, den Tag der Prüfung notieren und den Ausdruck der Seite zur Datenschutzakte nehmen.</w:t>
      </w:r>
    </w:p>
    <w:p>
      <w:pPr>
        <w:pBdr>
          <w:left w:val="single" w:color="888888" w:sz="12" w:space="12"/>
        </w:pBdr>
        <w:spacing w:after="200" w:before="180"/>
        <w:ind w:left="340"/>
      </w:pPr>
      <w:r>
        <w:rPr>
          <w:b/>
          <w:bCs/>
        </w:rPr>
        <w:t xml:space="preserve">Schritt für Schritt steht das in </w:t>
      </w:r>
      <w:r>
        <w:rPr>
          <w:rFonts w:ascii="Consolas" w:cs="Consolas" w:eastAsia="Consolas" w:hAnsi="Consolas"/>
          <w:b/>
          <w:bCs/>
        </w:rPr>
        <w:t xml:space="preserve">AWS-ZWEI-HANDGRIFFE.md</w:t>
      </w:r>
      <w:r>
        <w:rPr>
          <w:b/>
          <w:bCs/>
        </w:rPr>
        <w:t xml:space="preserve">, Handgriff 4</w:t>
      </w:r>
      <w:r>
        <w:t xml:space="preserve"> — mit dem, was dabei schiefgeht, und mit den drei Gründen, die </w:t>
      </w:r>
      <w:r>
        <w:rPr>
          <w:i/>
          <w:iCs/>
        </w:rPr>
        <w:t xml:space="preserve">keine</w:t>
      </w:r>
      <w:r>
        <w:t xml:space="preserve"> Gründe für einen Wechsel sind.</w:t>
      </w:r>
    </w:p>
    <w:p>
      <w:pPr>
        <w:spacing w:after="140"/>
      </w:pPr>
      <w:r>
        <w:rPr>
          <w:b/>
          <w:bCs/>
        </w:rPr>
        <w:t xml:space="preserve">Dasselbe gilt für Modelle fremder Anbieter aus dem AWS-Marktplatz</w:t>
      </w:r>
      <w:r>
        <w:t xml:space="preserve"> — die bringen eigene Vertragsbedingungen mit, die wir nicht geprüft haben.</w:t>
      </w:r>
    </w:p>
    <w:p>
      <w:pPr>
        <w:pStyle w:val="Heading2"/>
        <w:spacing w:after="120" w:before="280"/>
      </w:pPr>
      <w:r>
        <w:t xml:space="preserve">Wo das Modell steht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 </w:t>
      </w:r>
      <w:r>
        <w:rPr>
          <w:rFonts w:ascii="Consolas" w:cs="Consolas" w:eastAsia="Consolas" w:hAnsi="Consolas"/>
        </w:rPr>
        <w:t xml:space="preserve">START-JURNODES.bat</w:t>
      </w:r>
      <w:r>
        <w:t xml:space="preserve">, Eintrag </w:t>
      </w:r>
      <w:r>
        <w:rPr>
          <w:rFonts w:ascii="Consolas" w:cs="Consolas" w:eastAsia="Consolas" w:hAnsi="Consolas"/>
        </w:rPr>
        <w:t xml:space="preserve">JUSPERFECT_MODELL_ID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Zum Nachsehen genügt die Oberfläche:</w:t>
      </w:r>
      <w:r>
        <w:t xml:space="preserve"> Unter jeder Antwort steht, welches Modell sie erzeugt hat.</w:t>
      </w:r>
    </w:p>
    <w:p>
      <w:pPr>
        <w:pStyle w:val="Heading2"/>
        <w:spacing w:after="120" w:before="280"/>
      </w:pPr>
      <w:r>
        <w:t xml:space="preserve">Einmal im Jahr</w:t>
      </w:r>
    </w:p>
    <w:p>
      <w:pPr>
        <w:spacing w:after="140"/>
      </w:pPr>
      <w:r>
        <w:t xml:space="preserve">Die Seite wird bei der jährlichen Durchsicht der Folgenabschätzung erneut angesehen. Sie ist </w:t>
      </w:r>
      <w:r>
        <w:rPr>
          <w:b/>
          <w:bCs/>
        </w:rPr>
        <w:t xml:space="preserve">Dokumentation und kein Vertrag</w:t>
      </w:r>
      <w:r>
        <w:t xml:space="preserve"> — AWS kann sie ohne Ankündigung ändern und ein Modell aufnehmen, auch unseres.</w:t>
      </w:r>
    </w:p>
    <w:p>
      <w:pPr>
        <w:pBdr>
          <w:bottom w:val="single" w:color="999999" w:sz="6" w:space="8"/>
        </w:pBdr>
        <w:spacing w:after="200" w:before="200"/>
      </w:pPr>
    </w:p>
    <w:p>
      <w:pPr>
        <w:pStyle w:val="Heading1"/>
        <w:spacing w:after="150" w:before="380"/>
      </w:pPr>
      <w:r>
        <w:t xml:space="preserve">Regel 1a — Wird gefragt, ob die Akte noch läuft, wird geantwortet</w:t>
      </w:r>
    </w:p>
    <w:p>
      <w:pPr>
        <w:spacing w:after="140"/>
      </w:pPr>
      <w:r>
        <w:t xml:space="preserve">Hat zwölf Monate lang niemand in einer Akte gearbeitet, fragt jusperfect beim Öffnen: </w:t>
      </w:r>
      <w:r>
        <w:rPr>
          <w:b/>
          <w:bCs/>
        </w:rPr>
        <w:t xml:space="preserve">„Läuft die Akte noch?"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Ja</w:t>
      </w:r>
      <w:r>
        <w:t xml:space="preserve"> — die Arbeitskopie bleibt, und in zwölf Monaten wird erneut gefragt. Die Antwort wird mit Datum und Bearbeiter vermerkt.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Nein</w:t>
      </w:r>
      <w:r>
        <w:t xml:space="preserve"> — die Akte wird zum Abschluss vorgemerkt. Gelöscht wird erst beim Abschluss, nach dem Export des Arbeitsstands.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Später</w:t>
      </w:r>
      <w:r>
        <w:t xml:space="preserve"> — die Frage bleibt offen und kommt wieder. </w:t>
      </w:r>
      <w:r>
        <w:rPr>
          <w:b/>
          <w:bCs/>
        </w:rPr>
        <w:t xml:space="preserve">Es wird nichts gelöscht, solange nicht geantwortet ist.</w:t>
      </w:r>
    </w:p>
    <w:p>
      <w:pPr>
        <w:pStyle w:val="Heading2"/>
        <w:spacing w:after="120" w:before="280"/>
      </w:pPr>
      <w:r>
        <w:t xml:space="preserve">Warum das eine Hausregel ist</w:t>
      </w:r>
    </w:p>
    <w:p>
      <w:pPr>
        <w:spacing w:after="140"/>
      </w:pPr>
      <w:r>
        <w:t xml:space="preserve">Art. 5 Abs. 1 lit. e DSGVO verlangt, dass nicht länger aufbewahrt wird als nötig. Eine Frist, die von selbst abläuft, wäre hier falsch: </w:t>
      </w:r>
      <w:r>
        <w:rPr>
          <w:b/>
          <w:bCs/>
        </w:rPr>
        <w:t xml:space="preserve">Akten laufen manchmal jahrelang</w:t>
      </w:r>
      <w:r>
        <w:t xml:space="preserve">, und eine Arbeitskopie zu löschen, weil ein Jahr vergangen ist, nähme der Kanzlei die Vorarbeit eines lebenden Mandats.</w:t>
      </w:r>
    </w:p>
    <w:p>
      <w:pPr>
        <w:spacing w:after="140"/>
      </w:pPr>
      <w:r>
        <w:t xml:space="preserve">Deshalb löst die Zeit die </w:t>
      </w:r>
      <w:r>
        <w:rPr>
          <w:b/>
          <w:bCs/>
        </w:rPr>
        <w:t xml:space="preserve">Frage</w:t>
      </w:r>
      <w:r>
        <w:t xml:space="preserve"> aus und nicht die Löschung. Die Frage ersetzt die Frist — aber nur, wenn sie beantwortet wird. Wer immer „Später" klickt, hat den alten Zustand wiederhergestellt.</w:t>
      </w:r>
    </w:p>
    <w:p>
      <w:pPr>
        <w:spacing w:after="140"/>
      </w:pPr>
      <w:r>
        <w:rPr>
          <w:b/>
          <w:bCs/>
        </w:rPr>
        <w:t xml:space="preserve">Die Akte selbst ist davon nie betroffen.</w:t>
      </w:r>
      <w:r>
        <w:t xml:space="preserve"> Gelöscht wird allenfalls die Arbeitskopie in jusperfect; die Handakte unterliegt § 50 Abs. 1 BRAO.</w:t>
      </w:r>
    </w:p>
    <w:p>
      <w:pPr>
        <w:pBdr>
          <w:bottom w:val="single" w:color="999999" w:sz="6" w:space="8"/>
        </w:pBdr>
        <w:spacing w:after="200" w:before="200"/>
      </w:pPr>
    </w:p>
    <w:p>
      <w:pPr>
        <w:pStyle w:val="Heading1"/>
        <w:spacing w:after="150" w:before="380"/>
      </w:pPr>
      <w:r>
        <w:t xml:space="preserve">Regel 1b — Der zweite Faktor, wenn er eingeschaltet ist</w:t>
      </w:r>
    </w:p>
    <w:p>
      <w:pPr>
        <w:spacing w:after="140"/>
      </w:pPr>
      <w:r>
        <w:t xml:space="preserve">Die Anmeldung in jusperfect ist im Laufwerksbetrieb </w:t>
      </w:r>
      <w:r>
        <w:rPr>
          <w:b/>
          <w:bCs/>
        </w:rPr>
        <w:t xml:space="preserve">kein Kennwort</w:t>
      </w:r>
      <w:r>
        <w:t xml:space="preserve">, sondern eine Kennung: Wer am Rechner sitzt, kann eine andere eintragen. Das ist das einzige Risiko, das die Folgenabschätzung als </w:t>
      </w:r>
      <w:r>
        <w:rPr>
          <w:b/>
          <w:bCs/>
        </w:rPr>
        <w:t xml:space="preserve">hoch</w:t>
      </w:r>
      <w:r>
        <w:t xml:space="preserve"> einstuft (R7) — und es liegt nicht bei AWS, sondern im Flur.</w:t>
      </w:r>
    </w:p>
    <w:p>
      <w:pPr>
        <w:spacing w:after="140"/>
      </w:pPr>
      <w:r>
        <w:t xml:space="preserve">Seit dem 15.10.2026 lässt sich ein </w:t>
      </w:r>
      <w:r>
        <w:rPr>
          <w:b/>
          <w:bCs/>
        </w:rPr>
        <w:t xml:space="preserve">zweiter Faktor</w:t>
      </w:r>
      <w:r>
        <w:t xml:space="preserve"> davorsetzen: ein Einmalkennwort aus einer Authentifizierungs-App, wie bei der Bank.</w:t>
      </w:r>
    </w:p>
    <w:p>
      <w:pPr>
        <w:pStyle w:val="Heading2"/>
        <w:spacing w:after="120" w:before="280"/>
      </w:pPr>
      <w:r>
        <w:t xml:space="preserve">Wenn er eingeschaltet ist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Beim ersten Mal </w:t>
      </w:r>
      <w:r>
        <w:rPr>
          <w:b/>
          <w:bCs/>
        </w:rPr>
        <w:t xml:space="preserve">„Einrichten"</w:t>
      </w:r>
      <w:r>
        <w:t xml:space="preserve"> klicken. Das angezeigte Geheimnis in die Authentifizierungs-App übernehmen (Microsoft Authenticator, Google Authenticator, Aegis oder eine andere).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Das Geheimnis wird nur einmal angezeigt.</w:t>
      </w:r>
      <w:r>
        <w:t xml:space="preserve"> Wer es verliert, braucht eine Neueinrichtung.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Danach bei jedem Programmstart das sechsstellige Einmalkennwort eingeben.</w:t>
      </w:r>
    </w:p>
    <w:p>
      <w:pPr>
        <w:pStyle w:val="Heading2"/>
        <w:spacing w:after="120" w:before="280"/>
      </w:pPr>
      <w:r>
        <w:t xml:space="preserve">Was er nicht ersetzt</w:t>
      </w:r>
    </w:p>
    <w:p>
      <w:pPr>
        <w:spacing w:after="140"/>
      </w:pPr>
      <w:r>
        <w:t xml:space="preserve">Den Schutz des Windows-Kontos. Er sorgt nur dafür, dass ein unbeaufsichtigter Rechner allein nicht genügt, um eine Mandatsakte zu öffnen.</w:t>
      </w:r>
    </w:p>
    <w:p>
      <w:pPr>
        <w:spacing w:after="140"/>
      </w:pPr>
      <w:r>
        <w:rPr>
          <w:b/>
          <w:bCs/>
        </w:rPr>
        <w:t xml:space="preserve">Eingeschaltet wird er in </w:t>
      </w:r>
      <w:r>
        <w:rPr>
          <w:rFonts w:ascii="Consolas" w:cs="Consolas" w:eastAsia="Consolas" w:hAnsi="Consolas"/>
          <w:b/>
          <w:bCs/>
        </w:rPr>
        <w:t xml:space="preserve">START-JURNODES.bat</w:t>
      </w:r>
      <w:r>
        <w:t xml:space="preserve">, Eintrag </w:t>
      </w:r>
      <w:r>
        <w:rPr>
          <w:rFonts w:ascii="Consolas" w:cs="Consolas" w:eastAsia="Consolas" w:hAnsi="Consolas"/>
        </w:rPr>
        <w:t xml:space="preserve">JUSPERFECT_ZWEITER_FAKTOR=an</w:t>
      </w:r>
      <w:r>
        <w:t xml:space="preserve">. Voreingestellt ist „aus".</w:t>
      </w:r>
    </w:p>
    <w:p>
      <w:pPr>
        <w:pBdr>
          <w:bottom w:val="single" w:color="999999" w:sz="6" w:space="8"/>
        </w:pBdr>
        <w:spacing w:after="200" w:before="200"/>
      </w:pPr>
    </w:p>
    <w:p>
      <w:pPr>
        <w:pStyle w:val="Heading1"/>
        <w:spacing w:after="150" w:before="380"/>
      </w:pPr>
      <w:r>
        <w:t xml:space="preserve">Regel 1c — Drei Dinge, die jeder einhält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Bildschirm sperren beim Verlassen des Platzes.</w:t>
      </w:r>
      <w:r>
        <w:t xml:space="preserve"> Windows-Taste + L. Zusätzlich die automatische Sperre nach wenigen Minuten einstellen.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Keine geteilten Windows-Konten.</w:t>
      </w:r>
      <w:r>
        <w:t xml:space="preserve"> Jede Person hat ihr eigenes.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Jeder trägt seine eigene Kennung ein</w:t>
      </w:r>
      <w:r>
        <w:t xml:space="preserve"> — auch wer nur kurz nachsieht.</w:t>
      </w:r>
    </w:p>
    <w:p>
      <w:pPr>
        <w:pStyle w:val="Heading2"/>
        <w:spacing w:after="120" w:before="280"/>
      </w:pPr>
      <w:r>
        <w:t xml:space="preserve">Warum das keine Nebensache ist</w:t>
      </w:r>
    </w:p>
    <w:p>
      <w:pPr>
        <w:spacing w:after="140"/>
      </w:pPr>
      <w:r>
        <w:rPr>
          <w:b/>
          <w:bCs/>
        </w:rPr>
        <w:t xml:space="preserve">In jusperfect sieht jede Berufsträgerin und jeder Mitarbeitende jede Akte.</w:t>
      </w:r>
      <w:r>
        <w:t xml:space="preserve"> Das ist eine Entscheidung der Kanzlei vom 15.10.2026 und richtig so: In einer Kanzlei dieser Größe vertritt jeder jeden, und eine Berechtigung, die im Vertretungsfall regelmäßig aufgehoben werden müsste, schützt niemanden.</w:t>
      </w:r>
    </w:p>
    <w:p>
      <w:pPr>
        <w:spacing w:after="140"/>
      </w:pPr>
      <w:r>
        <w:rPr>
          <w:b/>
          <w:bCs/>
        </w:rPr>
        <w:t xml:space="preserve">Diese Entscheidung verlagert den Schutz aber von der Technik auf die Organisation.</w:t>
      </w:r>
      <w:r>
        <w:t xml:space="preserve"> Wenn nicht die Berechtigung begrenzt, </w:t>
      </w:r>
      <w:r>
        <w:rPr>
          <w:i/>
          <w:iCs/>
        </w:rPr>
        <w:t xml:space="preserve">wer</w:t>
      </w:r>
      <w:r>
        <w:t xml:space="preserve"> eine Akte öffnen kann, dann trägt die Last der Umstand, dass jeder Zugriff </w:t>
      </w:r>
      <w:r>
        <w:rPr>
          <w:b/>
          <w:bCs/>
        </w:rPr>
        <w:t xml:space="preserve">einer Person zuzuordnen</w:t>
      </w:r>
      <w:r>
        <w:t xml:space="preserve"> ist — und dass jede Person zur </w:t>
      </w:r>
      <w:r>
        <w:rPr>
          <w:b/>
          <w:bCs/>
        </w:rPr>
        <w:t xml:space="preserve">Verschwiegenheit verpflichtet</w:t>
      </w:r>
      <w:r>
        <w:t xml:space="preserve"> ist.</w:t>
      </w:r>
    </w:p>
    <w:p>
      <w:pPr>
        <w:spacing w:after="140"/>
      </w:pPr>
      <w:r>
        <w:t xml:space="preserve">Bei einem geteilten Konto fällt die Zuordnung aus. Dann sagt der Nutzungsnachweis nicht mehr, wer gefragt hat, und die Rechenschaftspflicht nach Art. 5 Abs. 2 DSGVO geht an dieser Stelle verloren. </w:t>
      </w:r>
      <w:r>
        <w:rPr>
          <w:b/>
          <w:bCs/>
        </w:rPr>
        <w:t xml:space="preserve">Deshalb sind diese drei Punkte seit dem 15.10.2026 die tragende Maßnahme und nicht mehr die Ergänzung.</w:t>
      </w:r>
    </w:p>
    <w:p>
      <w:pPr>
        <w:pBdr>
          <w:left w:val="single" w:color="888888" w:sz="12" w:space="12"/>
        </w:pBdr>
        <w:spacing w:after="200" w:before="180"/>
        <w:ind w:left="340"/>
      </w:pPr>
      <w:r>
        <w:rPr>
          <w:b/>
          <w:bCs/>
        </w:rPr>
        <w:t xml:space="preserve">Für die Kanzleileitung, nicht für die Einweisung:</w:t>
      </w:r>
      <w:r>
        <w:t xml:space="preserve"> Für jede Person mit Zugang — auch Referendare, Aushilfen und externe IT — muss eine Verpflichtung auf die Verschwiegenheit in Textform vorliegen (§ 203 Abs. 4 StGB). Das ist zu bestätigen, nicht anzunehmen.</w:t>
      </w:r>
    </w:p>
    <w:p>
      <w:pPr>
        <w:pBdr>
          <w:bottom w:val="single" w:color="999999" w:sz="6" w:space="8"/>
        </w:pBdr>
        <w:spacing w:after="200" w:before="200"/>
      </w:pPr>
    </w:p>
    <w:p>
      <w:pPr>
        <w:pStyle w:val="Heading1"/>
        <w:spacing w:after="150" w:before="380"/>
      </w:pPr>
      <w:r>
        <w:t xml:space="preserve">Regel 2 — Die E-Mail-Adresse des AWS-Kontos wird gelesen</w:t>
      </w:r>
    </w:p>
    <w:p>
      <w:pPr>
        <w:spacing w:after="140"/>
      </w:pPr>
      <w:r>
        <w:rPr>
          <w:b/>
          <w:bCs/>
        </w:rPr>
        <w:t xml:space="preserve">Benannt ist:</w:t>
      </w:r>
      <w:r>
        <w:t xml:space="preserve"> ........................................ </w:t>
      </w:r>
      <w:r>
        <w:rPr>
          <w:i/>
          <w:iCs/>
        </w:rPr>
        <w:t xml:space="preserve">(Adresse eintragen)</w:t>
      </w:r>
    </w:p>
    <w:p>
      <w:pPr>
        <w:spacing w:after="140"/>
      </w:pPr>
      <w:r>
        <w:rPr>
          <w:b/>
          <w:bCs/>
        </w:rPr>
        <w:t xml:space="preserve">Dafür verantwortlich ist:</w:t>
      </w:r>
      <w:r>
        <w:t xml:space="preserve"> ........................................</w:t>
      </w:r>
    </w:p>
    <w:p>
      <w:pPr>
        <w:spacing w:after="140"/>
      </w:pPr>
      <w:r>
        <w:rPr>
          <w:b/>
          <w:bCs/>
        </w:rPr>
        <w:t xml:space="preserve">Vertretung:</w:t>
      </w:r>
      <w:r>
        <w:t xml:space="preserve"> ........................................</w:t>
      </w:r>
    </w:p>
    <w:p>
      <w:pPr>
        <w:pStyle w:val="Heading2"/>
        <w:spacing w:after="120" w:before="280"/>
      </w:pPr>
      <w:r>
        <w:t xml:space="preserve">Warum</w:t>
      </w:r>
    </w:p>
    <w:p>
      <w:pPr>
        <w:spacing w:after="140"/>
      </w:pPr>
      <w:r>
        <w:t xml:space="preserve">Erkennt AWS einen möglichen Verstoß gegen seine Nutzungsbedingungen, fragt es </w:t>
      </w:r>
      <w:r>
        <w:rPr>
          <w:b/>
          <w:bCs/>
        </w:rPr>
        <w:t xml:space="preserve">per E-Mail an die Kontoadresse</w:t>
      </w:r>
      <w:r>
        <w:t xml:space="preserve"> nach. Erfolgt keine Antwort, </w:t>
      </w:r>
      <w:r>
        <w:rPr>
          <w:b/>
          <w:bCs/>
        </w:rPr>
        <w:t xml:space="preserve">kann AWS den Zugang zu Amazon Bedrock oder zu einzelnen Modellen sperren</w:t>
      </w:r>
      <w:r>
        <w:t xml:space="preserve">.</w:t>
      </w:r>
    </w:p>
    <w:p>
      <w:pPr>
        <w:spacing w:after="140"/>
      </w:pPr>
      <w:r>
        <w:t xml:space="preserve">Eine Sperre bedeutet: </w:t>
      </w:r>
      <w:r>
        <w:rPr>
          <w:b/>
          <w:bCs/>
        </w:rPr>
        <w:t xml:space="preserve">jusperfect steht still.</w:t>
      </w:r>
      <w:r>
        <w:t xml:space="preserve"> Keine Analyse, kein Entwurf, keine Texterkennung — mitten in der Arbeit und ohne Vorwarnung, weil die Vorwarnung in einem Postfach lag, das niemand liest.</w:t>
      </w:r>
    </w:p>
    <w:p>
      <w:pPr>
        <w:spacing w:after="140"/>
      </w:pPr>
      <w:r>
        <w:t xml:space="preserve">An dieselbe Adresse gehen auch die übrigen Nachrichten von AWS: Rechnungen, Hinweise auf Änderungen an Diensten, Fristen.</w:t>
      </w:r>
    </w:p>
    <w:p>
      <w:pPr>
        <w:pStyle w:val="Heading2"/>
        <w:spacing w:after="120" w:before="280"/>
      </w:pPr>
      <w:r>
        <w:t xml:space="preserve">Was zu tun ist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Eine Adresse benennen, die </w:t>
      </w:r>
      <w:r>
        <w:rPr>
          <w:b/>
          <w:bCs/>
        </w:rPr>
        <w:t xml:space="preserve">tatsächlich gelesen wird</w:t>
      </w:r>
      <w:r>
        <w:t xml:space="preserve"> — kein Sammelkorb, der einmal im Quartal geöffnet wird.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Eine Person benennen, die dafür zuständig ist, und eine Vertretung für Urlaub und Krankheit.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Feststellen, welche Adresse AWS heute wirklich verwendet — nicht annehmen.</w:t>
      </w:r>
      <w:r>
        <w:t xml:space="preserve"> Dafür genügt ein Blick in die Postfächer: Nachrichten mit dem Absender </w:t>
      </w:r>
      <w:r>
        <w:rPr>
          <w:b/>
          <w:bCs/>
        </w:rPr>
        <w:t xml:space="preserve">Amazon Web Services</w:t>
      </w:r>
      <w:r>
        <w:t xml:space="preserve"> liegen in genau dieser Adresse. Verlässlich kommt die </w:t>
      </w:r>
      <w:r>
        <w:rPr>
          <w:b/>
          <w:bCs/>
        </w:rPr>
        <w:t xml:space="preserve">monatliche Rechnung</w:t>
      </w:r>
      <w:r>
        <w:t xml:space="preserve">; dazu Hinweise auf Änderungen an Diensten.</w:t>
      </w:r>
    </w:p>
    <w:p>
      <w:pPr>
        <w:spacing w:after="140"/>
      </w:pPr>
      <w:r>
        <w:t xml:space="preserve">&gt; Beim Anlegen der Organisation am 14.10.2026 kam </w:t>
      </w:r>
      <w:r>
        <w:rPr>
          <w:b/>
          <w:bCs/>
        </w:rPr>
        <w:t xml:space="preserve">keine</w:t>
      </w:r>
      <w:r>
        <w:t xml:space="preserve"> Mail — darauf &gt; ist also kein Verlass.</w:t>
      </w:r>
    </w:p>
    <w:p>
      <w:pPr>
        <w:spacing w:after="140"/>
      </w:pPr>
      <w:r>
        <w:t xml:space="preserve">&gt; </w:t>
      </w:r>
      <w:r>
        <w:rPr>
          <w:b/>
          <w:bCs/>
        </w:rPr>
        <w:t xml:space="preserve">Die Anmeldung beweist es nur in einem Fall.</w:t>
      </w:r>
      <w:r>
        <w:t xml:space="preserve"> Wer sich mit einer &gt; </w:t>
      </w:r>
      <w:r>
        <w:rPr>
          <w:b/>
          <w:bCs/>
        </w:rPr>
        <w:t xml:space="preserve">E-Mail-Adresse</w:t>
      </w:r>
      <w:r>
        <w:t xml:space="preserve"> anmeldet, ist als Root-Benutzer unterwegs — dann ist &gt; das die Kontoadresse. Wer sich mit </w:t>
      </w:r>
      <w:r>
        <w:rPr>
          <w:b/>
          <w:bCs/>
        </w:rPr>
        <w:t xml:space="preserve">Kontonummer oder Kontoalias und &gt; einem Benutzernamen</w:t>
      </w:r>
      <w:r>
        <w:t xml:space="preserve"> anmeldet, benutzt einen IAM-Benutzer; dann sagt die &gt; Anmeldung über die Kontoadresse </w:t>
      </w:r>
      <w:r>
        <w:rPr>
          <w:b/>
          <w:bCs/>
        </w:rPr>
        <w:t xml:space="preserve">nichts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In der AWS-Konsole nachsehen, dass </w:t>
      </w:r>
      <w:r>
        <w:rPr>
          <w:b/>
          <w:bCs/>
        </w:rPr>
        <w:t xml:space="preserve">diese</w:t>
      </w:r>
      <w:r>
        <w:t xml:space="preserve"> Adresse hinterlegt ist, und nicht eine aus der Einrichtungszeit. Zwei Wege führen hin:</w:t>
      </w:r>
    </w:p>
    <w:p>
      <w:pPr>
        <w:spacing w:after="140"/>
      </w:pPr>
      <w:r>
        <w:rPr>
          <w:i/>
          <w:iCs/>
        </w:rPr>
        <w:t xml:space="preserve"> oben rechts auf den </w:t>
      </w:r>
      <w:r>
        <w:rPr>
          <w:i/>
          <w:iCs/>
        </w:rPr>
        <w:t xml:space="preserve">Kontonamen</w:t>
      </w:r>
      <w:r>
        <w:rPr>
          <w:i/>
          <w:iCs/>
        </w:rPr>
        <w:t xml:space="preserve">, dann </w:t>
      </w:r>
      <w:r>
        <w:rPr>
          <w:i/>
          <w:iCs/>
        </w:rPr>
        <w:t xml:space="preserve">Konto</w:t>
      </w:r>
      <w:r>
        <w:rPr>
          <w:i/>
          <w:iCs/>
        </w:rPr>
        <w:t xml:space="preserve"> (</w:t>
      </w:r>
      <w:r>
        <w:t xml:space="preserve">Account</w:t>
      </w:r>
      <w:r>
        <w:rPr>
          <w:i/>
          <w:iCs/>
        </w:rPr>
        <w:t xml:space="preserve">) — dort stehen die Adresse des Root-Benutzers und weiter unten die </w:t>
      </w:r>
      <w:r>
        <w:rPr>
          <w:i/>
          <w:iCs/>
        </w:rPr>
        <w:t xml:space="preserve">alternativen Kontakte</w:t>
      </w:r>
      <w:r>
        <w:rPr>
          <w:i/>
          <w:iCs/>
        </w:rPr>
        <w:t xml:space="preserve"> für </w:t>
      </w:r>
      <w:r>
        <w:rPr>
          <w:i/>
          <w:iCs/>
        </w:rPr>
        <w:t xml:space="preserve">Abrechnung</w:t>
      </w:r>
      <w:r>
        <w:rPr>
          <w:i/>
          <w:iCs/>
        </w:rPr>
        <w:t xml:space="preserve">, </w:t>
      </w:r>
      <w:r>
        <w:rPr>
          <w:i/>
          <w:iCs/>
        </w:rPr>
        <w:t xml:space="preserve">Betrieb</w:t>
      </w:r>
      <w:r>
        <w:rPr>
          <w:i/>
          <w:iCs/>
        </w:rPr>
        <w:t xml:space="preserve"> und </w:t>
      </w:r>
      <w:r>
        <w:rPr>
          <w:i/>
          <w:iCs/>
        </w:rPr>
        <w:t xml:space="preserve">Sicherheit</w:t>
      </w:r>
      <w:r>
        <w:rPr>
          <w:i/>
          <w:iCs/>
        </w:rPr>
        <w:t xml:space="preserve">; </w:t>
      </w:r>
      <w:r>
        <w:t xml:space="preserve"> oder in </w:t>
      </w:r>
      <w:r>
        <w:rPr>
          <w:b/>
          <w:bCs/>
        </w:rPr>
        <w:t xml:space="preserve">AWS Organizations</w:t>
      </w:r>
      <w:r>
        <w:t xml:space="preserve"> unter </w:t>
      </w:r>
      <w:r>
        <w:rPr>
          <w:b/>
          <w:bCs/>
        </w:rPr>
        <w:t xml:space="preserve">AWS-Konten</w:t>
      </w:r>
      <w:r>
        <w:t xml:space="preserve"> das Konto anklicken — die </w:t>
      </w:r>
      <w:r>
        <w:rPr>
          <w:b/>
          <w:bCs/>
        </w:rPr>
        <w:t xml:space="preserve">Kontodetails</w:t>
      </w:r>
      <w:r>
        <w:t xml:space="preserve"> nennen die Adresse ebenfalls. Das ist dieselbe Seite, auf der am 14.10.2026 die wirksame Opt-out-Richtlinie abgelesen wurde.</w:t>
      </w:r>
    </w:p>
    <w:p>
      <w:pPr>
        <w:spacing w:after="140"/>
      </w:pPr>
      <w:r>
        <w:t xml:space="preserve">&gt; </w:t>
      </w:r>
      <w:r>
        <w:rPr>
          <w:b/>
          <w:bCs/>
        </w:rPr>
        <w:t xml:space="preserve">Dieselbe Adresse setzt auch das Passwort zurück.</w:t>
      </w:r>
      <w:r>
        <w:t xml:space="preserve"> Wer Zugriff auf &gt; dieses Postfach hat, kann sich damit das Kennwort des </w:t>
      </w:r>
      <w:r>
        <w:rPr>
          <w:b/>
          <w:bCs/>
        </w:rPr>
        <w:t xml:space="preserve">Root-Benutzers</w:t>
      </w:r>
      <w:r>
        <w:t xml:space="preserve"> &gt; von AWS neu setzen lassen — und der Root-Benutzer darf im Konto alles. &gt; Je mehr Menschen das Postfach lesen, desto wichtiger werden deshalb zwei &gt; Dinge: Für den Root-Benutzer muss die </w:t>
      </w:r>
      <w:r>
        <w:rPr>
          <w:b/>
          <w:bCs/>
        </w:rPr>
        <w:t xml:space="preserve">Zwei-Faktor-Anmeldung &gt; eingeschaltet</w:t>
      </w:r>
      <w:r>
        <w:t xml:space="preserve"> sein, und </w:t>
      </w:r>
      <w:r>
        <w:rPr>
          <w:b/>
          <w:bCs/>
        </w:rPr>
        <w:t xml:space="preserve">gearbeitet wird nie als Root-Benutzer</w:t>
      </w:r>
      <w:r>
        <w:t xml:space="preserve"> &gt; (</w:t>
      </w:r>
      <w:r>
        <w:rPr>
          <w:rFonts w:ascii="Consolas" w:cs="Consolas" w:eastAsia="Consolas" w:hAnsi="Consolas"/>
        </w:rPr>
        <w:t xml:space="preserve">AWS-EINRICHTEN.md</w:t>
      </w:r>
      <w:r>
        <w:t xml:space="preserve">, Schritt 1). &gt; &gt; Wird das Postfach umgekehrt kaum geöffnet, läge dort die Rückfrage von &gt; AWS und niemand sähe sie. Dann gehört unter </w:t>
      </w:r>
      <w:r>
        <w:rPr>
          <w:b/>
          <w:bCs/>
        </w:rPr>
        <w:t xml:space="preserve">„Betrieb"</w:t>
      </w:r>
      <w:r>
        <w:t xml:space="preserve"> und &gt; </w:t>
      </w:r>
      <w:r>
        <w:rPr>
          <w:b/>
          <w:bCs/>
        </w:rPr>
        <w:t xml:space="preserve">„Sicherheit"</w:t>
      </w:r>
      <w:r>
        <w:t xml:space="preserve"> eine Adresse, die wirklich gelesen wird.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Bei einer Nachfrage von AWS </w:t>
      </w:r>
      <w:r>
        <w:rPr>
          <w:b/>
          <w:bCs/>
        </w:rPr>
        <w:t xml:space="preserve">nicht abwarten</w:t>
      </w:r>
      <w:r>
        <w:t xml:space="preserve">. Wer nicht weiß, was zu antworten ist, fragt zurück — aber antwortet.</w:t>
      </w:r>
    </w:p>
    <w:p>
      <w:pPr>
        <w:pBdr>
          <w:left w:val="single" w:color="888888" w:sz="12" w:space="12"/>
        </w:pBdr>
        <w:spacing w:after="200" w:before="180"/>
        <w:ind w:left="340"/>
      </w:pPr>
      <w:r>
        <w:rPr>
          <w:b/>
          <w:bCs/>
        </w:rPr>
        <w:t xml:space="preserve">Was in eine solche Antwort nicht gehört:</w:t>
      </w:r>
      <w:r>
        <w:t xml:space="preserve"> Akteninhalt. Kein Ausschnitt, kein anonymisiertes Beispiel, kein Bildschirmfoto mit Text. Nach Ziffer 6.5 der AWS-Kundenvereinbarung überträgt ein Vorschlag an AWS diesem unwiderruflich sämtliche Rechte daran.</w:t>
      </w:r>
    </w:p>
    <w:p>
      <w:pPr>
        <w:pBdr>
          <w:bottom w:val="single" w:color="999999" w:sz="6" w:space="8"/>
        </w:pBdr>
        <w:spacing w:after="200" w:before="200"/>
      </w:pPr>
    </w:p>
    <w:p>
      <w:pPr>
        <w:pStyle w:val="Heading1"/>
        <w:spacing w:after="150" w:before="380"/>
      </w:pPr>
      <w:r>
        <w:t xml:space="preserve">Woher diese Regeln kommen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4"/>
      </w:tblGrid>
      <w:tr>
        <w:trPr>
          <w:tblHeader/>
        </w:trPr>
        <w:tc>
          <w:tcPr>
            <w:tcW w:type="dxa" w:w="2400"/>
            <w:shd w:fill="EEF1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Regel</w:t>
            </w:r>
          </w:p>
        </w:tc>
        <w:tc>
          <w:tcPr>
            <w:tcW w:type="dxa" w:w="6954"/>
            <w:shd w:fill="EEF1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Fundstelle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69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DSFA-ENTWURF.md</w:t>
            </w:r>
            <w:r>
              <w:t xml:space="preserve">, Abschnitt 4, R4, </w:t>
            </w:r>
            <w:r>
              <w:rPr>
                <w:rFonts w:ascii="Consolas" w:cs="Consolas" w:eastAsia="Consolas" w:hAnsi="Consolas"/>
              </w:rPr>
              <w:t xml:space="preserve">[KANZLEI 22]</w:t>
            </w:r>
            <w:r>
              <w:t xml:space="preserve">; AWS Service Terms 50.12.1 und 50.12.2 (Stand 15.09.2026); Amazon Bedrock User Guide, „Abuse detection" (Anlage 17); </w:t>
            </w:r>
            <w:r>
              <w:rPr>
                <w:rFonts w:ascii="Consolas" w:cs="Consolas" w:eastAsia="Consolas" w:hAnsi="Consolas"/>
              </w:rPr>
              <w:t xml:space="preserve">AWS-ZWEI-HANDGRIFFE.md</w:t>
            </w:r>
            <w:r>
              <w:t xml:space="preserve">, Handgriff 4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1a</w:t>
            </w:r>
          </w:p>
        </w:tc>
        <w:tc>
          <w:tcPr>
            <w:tcW w:type="dxa" w:w="69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DSFA-ENTWURF.md</w:t>
            </w:r>
            <w:r>
              <w:t xml:space="preserve">, Risiko R3, </w:t>
            </w:r>
            <w:r>
              <w:rPr>
                <w:rFonts w:ascii="Consolas" w:cs="Consolas" w:eastAsia="Consolas" w:hAnsi="Consolas"/>
              </w:rPr>
              <w:t xml:space="preserve">[KANZLEI 7]</w:t>
            </w:r>
            <w:r>
              <w:t xml:space="preserve">; Art. 5 Abs. 1 lit. e DSGVO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1b</w:t>
            </w:r>
          </w:p>
        </w:tc>
        <w:tc>
          <w:tcPr>
            <w:tcW w:type="dxa" w:w="69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ebenda, Risiko R7, </w:t>
            </w:r>
            <w:r>
              <w:rPr>
                <w:rFonts w:ascii="Consolas" w:cs="Consolas" w:eastAsia="Consolas" w:hAnsi="Consolas"/>
              </w:rPr>
              <w:t xml:space="preserve">[KANZLEI 13]</w:t>
            </w:r>
            <w:r>
              <w:t xml:space="preserve">; Art. 32 DSGVO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1c</w:t>
            </w:r>
          </w:p>
        </w:tc>
        <w:tc>
          <w:tcPr>
            <w:tcW w:type="dxa" w:w="69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ebenda; Art. 5 Abs. 2 und Art. 32 DSGVO, § 203 Abs. 4 StGB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69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ebenda, letzter Absatz zu </w:t>
            </w:r>
            <w:r>
              <w:rPr>
                <w:rFonts w:ascii="Consolas" w:cs="Consolas" w:eastAsia="Consolas" w:hAnsi="Consolas"/>
              </w:rPr>
              <w:t xml:space="preserve">[KANZLEI 22]</w:t>
            </w:r>
            <w:r>
              <w:t xml:space="preserve">; Amazon Bedrock User Guide, „General information"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8"/>
        </w:pBdr>
        <w:spacing w:after="200" w:before="200"/>
      </w:pPr>
    </w:p>
    <w:p>
      <w:pPr>
        <w:pStyle w:val="Heading1"/>
        <w:spacing w:after="150" w:before="380"/>
      </w:pPr>
      <w:r>
        <w:t xml:space="preserve">Was hier noch hinzukommt</w:t>
      </w:r>
    </w:p>
    <w:p>
      <w:pPr>
        <w:spacing w:after="140"/>
      </w:pPr>
      <w:r>
        <w:t xml:space="preserve">Dieses Blatt ist </w:t>
      </w:r>
      <w:r>
        <w:rPr>
          <w:b/>
          <w:bCs/>
        </w:rPr>
        <w:t xml:space="preserve">nicht vollständig</w:t>
      </w:r>
      <w:r>
        <w:t xml:space="preserve">. Die Folgenabschätzung nennt noch mindestens einen weiteren Punkt, der in die Einweisung gehört und hier noch nicht steht: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Die Auswahl im Dokumentfenster ist die wirksamste Maßnahme in der Hand des Bearbeiters</w:t>
      </w:r>
      <w:r>
        <w:t xml:space="preserve"> (</w:t>
      </w:r>
      <w:r>
        <w:rPr>
          <w:rFonts w:ascii="Consolas" w:cs="Consolas" w:eastAsia="Consolas" w:hAnsi="Consolas"/>
        </w:rPr>
        <w:t xml:space="preserve">DSFA-ENTWURF.md</w:t>
      </w:r>
      <w:r>
        <w:t xml:space="preserve">, Abschnitt 2.4). Zum Modell gehen nur die angehakten Passagen — was nicht angehakt ist, sieht das Modell nie. Das ist keine Bequemlichkeitsfrage, sondern Datenminimierung nach Art. 5 Abs. 1 lit. c DSGVO.</w:t>
      </w:r>
    </w:p>
    <w:p>
      <w:pPr>
        <w:spacing w:after="140"/>
      </w:pPr>
      <w:r>
        <w:t xml:space="preserve">Weitere Punkte ergeben sich aus den noch offenen Stellen der Folgenabschätzung. Dieses Blatt wächst mit ihnen.</w:t>
      </w:r>
    </w:p>
    <w:p>
      <w:pPr>
        <w:pBdr>
          <w:bottom w:val="single" w:color="999999" w:sz="6" w:space="8"/>
        </w:pBdr>
        <w:spacing w:after="200" w:before="200"/>
      </w:pPr>
    </w:p>
    <w:p>
      <w:pPr>
        <w:spacing w:after="140"/>
      </w:pPr>
      <w:r>
        <w:t xml:space="preserve">Zur Kenntnis genommen:</w:t>
      </w:r>
    </w:p>
    <w:p>
      <w:pPr>
        <w:spacing w:after="140"/>
      </w:pPr>
      <w:r>
        <w:t xml:space="preserve">Name ........................  Ort, Datum ........................  Unterschrift ........................</w:t>
      </w:r>
    </w:p>
    <w:p>
      <w:pPr>
        <w:spacing w:after="140"/>
      </w:pPr>
      <w:r>
        <w:t xml:space="preserve">Name ........................  Ort, Datum ........................  Unterschrift ........................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0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ranklin Gothic Book" w:cs="Franklin Gothic Book" w:eastAsia="Franklin Gothic Book" w:hAnsi="Franklin Gothic Book"/>
        <w:sz w:val="22"/>
        <w:szCs w:val="22"/>
      </w:rPr>
    </w:rPrDefault>
    <w:pPrDefault>
      <w:pPr>
        <w:spacing w:after="140" w:line="276"/>
      </w:pPr>
    </w:pPrDefault>
  </w:docDefaults>
  <w:style w:type="paragraph" w:styleId="Title">
    <w:name w:val="Title"/>
    <w:basedOn w:val="Normal"/>
    <w:next w:val="Normal"/>
    <w:qFormat/>
    <w:pPr>
      <w:spacing w:after="200"/>
    </w:pPr>
    <w:rPr>
      <w:rFonts w:ascii="Franklin Gothic Book" w:cs="Franklin Gothic Book" w:eastAsia="Franklin Gothic Book" w:hAnsi="Franklin Gothic Book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rPr>
      <w:rFonts w:ascii="Franklin Gothic Book" w:cs="Franklin Gothic Book" w:eastAsia="Franklin Gothic Book" w:hAnsi="Franklin Gothic Book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Franklin Gothic Book" w:cs="Franklin Gothic Book" w:eastAsia="Franklin Gothic Book" w:hAnsi="Franklin Gothic Book"/>
      <w:b/>
      <w:bCs/>
      <w:color w:val="000000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EINWEISUNG</dc:title>
  <dc:creator>Dortschy, Thunert und Partner mbB</dc:creator>
  <cp:lastModifiedBy>Un-named</cp:lastModifiedBy>
  <cp:revision>1</cp:revision>
  <dcterms:created xsi:type="dcterms:W3CDTF">2026-10-15T16:12:06.322Z</dcterms:created>
  <dcterms:modified xsi:type="dcterms:W3CDTF">2026-10-15T16:12:06.333Z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