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28"/>
          <w:szCs w:val="28"/>
        </w:rPr>
        <w:t xml:space="preserve">Anlage 1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Effektive AI-Richtlinie für das Konto 579138738703</w:t>
      </w:r>
    </w:p>
    <w:p>
      <w:pPr>
        <w:spacing w:after="240" w:before="200" w:line="240" w:lineRule="auto"/>
      </w:pPr>
      <w:r>
        <w:drawing>
          <wp:inline distT="0" distB="0" distL="0" distR="0">
            <wp:extent cx="6124575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AWS Organizations, Reiter „Richtlinien“ des Kontos, Ansicht „Effektive AI-Richtlinie“. Stand der Richtlinie laut Anzeige: 14.10.2026, 17:11:54 Uhr MESZ. Keine Validierungsprobleme.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2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Angewendete Richtlinien am Konto — Quelle „Verknüpft mit Root“</w:t>
      </w:r>
    </w:p>
    <w:p>
      <w:pPr>
        <w:spacing w:after="240" w:before="200" w:line="240" w:lineRule="auto"/>
      </w:pPr>
      <w:r>
        <w:drawing>
          <wp:inline distT="0" distB="0" distL="0" distR="0">
            <wp:extent cx="6124575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AWS Organizations, Konto 579138738703, Abschnitt „Abmelderichtlinien für KI-Services“. Die Richtlinie jusperfect-keine-ki-nutzung ist dem Konto über die Stammorganisation zugeordnet.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2a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Die Richtlinie jusperfect-keine-ki-nutzung und ihr Inhalt</w:t>
      </w:r>
    </w:p>
    <w:p>
      <w:pPr>
        <w:spacing w:after="240" w:before="200" w:line="240" w:lineRule="auto"/>
      </w:pPr>
      <w:r>
        <w:drawing>
          <wp:inline distT="0" distB="0" distL="0" distR="0">
            <wp:extent cx="6124575" cy="471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Bestätigung der Zuordnung an das Stammverzeichnis sowie der Richtlinieninhalt (services/default/opt_out_policy = optOut).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80"/>
      </w:pPr>
      <w:r>
        <w:rPr>
          <w:b/>
          <w:bCs/>
          <w:sz w:val="28"/>
          <w:szCs w:val="28"/>
        </w:rPr>
        <w:t xml:space="preserve">Anlage 3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Kontovereinbarungen in AWS Artifact (Blatt 1 von 3)</w:t>
      </w:r>
    </w:p>
    <w:p>
      <w:pPr>
        <w:spacing w:after="240" w:before="200" w:line="240" w:lineRule="auto"/>
      </w:pPr>
      <w:r>
        <w:drawing>
          <wp:inline distT="0" distB="0" distL="0" distR="0">
            <wp:extent cx="9248775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Zehn Einträge, sämtlich inaktiv. Der Hinweis oben betrifft die am 14.10.2026 angelegte Organisation. Keine der Vereinbarungen ist für die Kanzlei einschlägig; keine wurde angenommen.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3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Kontovereinbarungen in AWS Artifact (Blatt 2 von 3)</w:t>
      </w:r>
    </w:p>
    <w:p>
      <w:pPr>
        <w:spacing w:after="240" w:before="200" w:line="240" w:lineRule="auto"/>
      </w:pPr>
      <w:r>
        <w:drawing>
          <wp:inline distT="0" distB="0" distL="0" distR="0">
            <wp:extent cx="9248775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Fortsetzung der Liste.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3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Kontovereinbarungen in AWS Artifact (Blatt 3 von 3)</w:t>
      </w:r>
    </w:p>
    <w:p>
      <w:pPr>
        <w:spacing w:after="240" w:before="200" w:line="240" w:lineRule="auto"/>
      </w:pPr>
      <w:r>
        <w:drawing>
          <wp:inline distT="0" distB="0" distL="0" distR="0">
            <wp:extent cx="9248775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Fortsetzung der Liste.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3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Organisationsvereinbarungen in AWS Artifact (Blatt 1 von 3)</w:t>
      </w:r>
    </w:p>
    <w:p>
      <w:pPr>
        <w:spacing w:after="240" w:before="200" w:line="240" w:lineRule="auto"/>
      </w:pPr>
      <w:r>
        <w:drawing>
          <wp:inline distT="0" distB="0" distL="0" distR="0">
            <wp:extent cx="924877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Fünf Einträge, sämtlich inaktiv. Auch hier ist keine Vereinbarung einschlägig oder angenommen.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3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Organisationsvereinbarungen in AWS Artifact (Blatt 2 von 3)</w:t>
      </w:r>
    </w:p>
    <w:p>
      <w:pPr>
        <w:spacing w:after="240" w:before="200" w:line="240" w:lineRule="auto"/>
      </w:pPr>
      <w:r>
        <w:drawing>
          <wp:inline distT="0" distB="0" distL="0" distR="0">
            <wp:extent cx="9248775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Fortsetzung der Liste.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p>
      <w:r>
        <w:br w:type="page"/>
      </w:r>
    </w:p>
    <w:p>
      <w:pPr>
        <w:spacing w:after="80"/>
      </w:pPr>
      <w:r>
        <w:rPr>
          <w:b/>
          <w:bCs/>
          <w:sz w:val="28"/>
          <w:szCs w:val="28"/>
        </w:rPr>
        <w:t xml:space="preserve">Anlage 3</w:t>
      </w:r>
    </w:p>
    <w:p>
      <w:pPr>
        <w:pBdr>
          <w:bottom w:val="single" w:color="999999" w:sz="6" w:space="8"/>
        </w:pBdr>
        <w:spacing w:after="240"/>
      </w:pPr>
      <w:r>
        <w:rPr>
          <w:sz w:val="24"/>
          <w:szCs w:val="24"/>
        </w:rPr>
        <w:t xml:space="preserve">Organisationsvereinbarungen in AWS Artifact (Blatt 3 von 3)</w:t>
      </w:r>
    </w:p>
    <w:p>
      <w:pPr>
        <w:spacing w:after="240" w:before="200" w:line="240" w:lineRule="auto"/>
      </w:pPr>
      <w:r>
        <w:drawing>
          <wp:inline distT="0" distB="0" distL="0" distR="0">
            <wp:extent cx="85344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i/>
          <w:iCs/>
          <w:sz w:val="20"/>
          <w:szCs w:val="20"/>
        </w:rPr>
        <w:t xml:space="preserve">Fortsetzung der Liste.</w:t>
      </w:r>
    </w:p>
    <w:p>
      <w:pPr>
        <w:spacing w:before="80"/>
      </w:pPr>
      <w:r>
        <w:rPr>
          <w:color w:val="666666"/>
          <w:sz w:val="18"/>
          <w:szCs w:val="18"/>
        </w:rPr>
        <w:t xml:space="preserve">Bildschirmausdruck vom 14.10.2026, Kanzlei Dortschy &amp; Thunert — Anlage zum Aktenvermerk gleichen Datums.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ranklin Gothic Book" w:cs="Franklin Gothic Book" w:eastAsia="Franklin Gothic Book" w:hAnsi="Franklin Gothic Book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c65daf7119f3f5a818d28d1fcebe4779213dbb.png"/><Relationship Id="rId8" Type="http://schemas.openxmlformats.org/officeDocument/2006/relationships/image" Target="media/46ee84f1322831a9f7e994a0e8c7333c4cfa2e5a.png"/><Relationship Id="rId9" Type="http://schemas.openxmlformats.org/officeDocument/2006/relationships/image" Target="media/38e2f041c4a13f9a49a70b8ea8d0910c2e73e867.png"/><Relationship Id="rId10" Type="http://schemas.openxmlformats.org/officeDocument/2006/relationships/image" Target="media/ddadb45e8a3ead2b5f48958315a585d7cfcb0ac5.png"/><Relationship Id="rId11" Type="http://schemas.openxmlformats.org/officeDocument/2006/relationships/image" Target="media/8cf1f50f03d27e7c7fe39156165b3fe06b693af8.png"/><Relationship Id="rId12" Type="http://schemas.openxmlformats.org/officeDocument/2006/relationships/image" Target="media/0c40338f568a597ea5de8b11ad1d0c999af33292.png"/><Relationship Id="rId13" Type="http://schemas.openxmlformats.org/officeDocument/2006/relationships/image" Target="media/4674de1cdb794a14074b6fe379e278ff633175da.png"/><Relationship Id="rId14" Type="http://schemas.openxmlformats.org/officeDocument/2006/relationships/image" Target="media/be744575e43e9b5e4d0659bcb9bdc09ee65d4450.png"/><Relationship Id="rId15" Type="http://schemas.openxmlformats.org/officeDocument/2006/relationships/image" Target="media/0f8c608ef935a1bdcf3e4915507d3f40eeb2ee5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Anlagen zum Aktenvermerk AWS vom 14.10.2026</dc:title>
  <dc:creator>Kanzlei Dortschy &amp; Thunert</dc:creator>
  <dc:description>Bildschirmausdrucke zu den Anlagen 1 bis 3</dc:description>
  <cp:lastModifiedBy>Un-named</cp:lastModifiedBy>
  <cp:revision>1</cp:revision>
  <dcterms:created xsi:type="dcterms:W3CDTF">2026-10-14T17:03:11.799Z</dcterms:created>
  <dcterms:modified xsi:type="dcterms:W3CDTF">2026-10-14T17:03:11.799Z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