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Belehrung und Verpflichtung zur Verschwiegenheit</w:t>
      </w:r>
    </w:p>
    <w:p>
      <w:pPr>
        <w:spacing w:after="140"/>
      </w:pPr>
      <w:r>
        <w:rPr>
          <w:b/>
          <w:bCs/>
        </w:rPr>
        <w:t xml:space="preserve">Dortschy, Thunert und Partner mbB</w:t>
      </w:r>
      <w:r>
        <w:t xml:space="preserve"> · Entwurf vom 15. Oktober 2026</w:t>
      </w:r>
    </w:p>
    <w:p>
      <w:pPr>
        <w:pBdr>
          <w:left w:val="single" w:color="888888" w:sz="12" w:space="12"/>
        </w:pBdr>
        <w:spacing w:after="200" w:before="180"/>
        <w:ind w:left="340"/>
      </w:pPr>
      <w:r>
        <w:rPr>
          <w:b/>
          <w:bCs/>
        </w:rPr>
        <w:t xml:space="preserve">Für die Kanzlei, nicht für den Empfänger.</w:t>
      </w:r>
      <w:r>
        <w:t xml:space="preserve"> Dieses Blatt enthält zwei Teile: das Schreiben an den Auftragsverarbeiter (Teil A) und die Anleitung dazu (Teil B). </w:t>
      </w:r>
      <w:r>
        <w:rPr>
          <w:b/>
          <w:bCs/>
        </w:rPr>
        <w:t xml:space="preserve">Nur Teil A geht hinaus.</w:t>
      </w:r>
      <w:r>
        <w:t xml:space="preserve"> Keine Rechtsberatung; </w:t>
      </w:r>
      <w:r>
        <w:rPr>
          <w:rFonts w:ascii="Consolas" w:cs="Consolas" w:eastAsia="Consolas" w:hAnsi="Consolas"/>
        </w:rPr>
        <w:t xml:space="preserve">[KANZLEI 9]</w:t>
      </w:r>
      <w:r>
        <w:t xml:space="preserve"> der Folgenabschätzung bleibt die Entscheidung der Kanzlei.</w:t>
      </w:r>
    </w:p>
    <w:p>
      <w:pPr>
        <w:pBdr>
          <w:bottom w:val="single" w:color="999999" w:sz="6" w:space="8"/>
        </w:pBdr>
        <w:spacing w:after="200" w:before="200"/>
      </w:pPr>
    </w:p>
    <w:p>
      <w:pPr>
        <w:pStyle w:val="Title"/>
        <w:spacing w:after="200"/>
      </w:pPr>
      <w:r>
        <w:t xml:space="preserve">Teil A · Das Schreiben</w:t>
      </w:r>
    </w:p>
    <w:p>
      <w:pPr>
        <w:pBdr>
          <w:left w:val="single" w:color="888888" w:sz="12" w:space="12"/>
        </w:pBdr>
        <w:spacing w:after="200" w:before="180"/>
        <w:ind w:left="340"/>
      </w:pPr>
      <w:r>
        <w:rPr>
          <w:b/>
          <w:bCs/>
        </w:rPr>
        <w:t xml:space="preserve">Auf den Briefbogen der Kanzlei übernehmen.</w:t>
      </w:r>
      <w:r>
        <w:t xml:space="preserve"> Der Text beginnt beim Empfänger und endet bei der Unterschrift.</w:t>
      </w:r>
    </w:p>
    <w:p>
      <w:pPr>
        <w:spacing w:after="140"/>
      </w:pPr>
      <w:r>
        <w:t xml:space="preserve">Amazon Web Services EMEA SARL</w:t>
      </w:r>
    </w:p>
    <w:p>
      <w:pPr>
        <w:spacing w:after="140"/>
      </w:pPr>
      <w:r>
        <w:t xml:space="preserve">............................................................</w:t>
      </w:r>
    </w:p>
    <w:p>
      <w:pPr>
        <w:spacing w:after="140"/>
      </w:pPr>
      <w:r>
        <w:t xml:space="preserve">............................................................</w:t>
      </w:r>
    </w:p>
    <w:p>
      <w:pPr>
        <w:spacing w:after="140"/>
      </w:pPr>
      <w:r>
        <w:rPr>
          <w:i/>
          <w:iCs/>
        </w:rPr>
        <w:t xml:space="preserve">(Anschrift des Vertragspartners — sie steht in der AWS-Kundenvereinbarung, Fassung 01.06.2026, im Abschnitt über die Vertragsparteien.)</w:t>
      </w:r>
    </w:p>
    <w:p>
      <w:pPr>
        <w:spacing w:after="140"/>
      </w:pPr>
      <w:r>
        <w:t xml:space="preserve">Hamburg, den ..........................</w:t>
      </w:r>
    </w:p>
    <w:p>
      <w:pPr>
        <w:spacing w:after="140"/>
      </w:pPr>
      <w:r>
        <w:rPr>
          <w:b/>
          <w:bCs/>
        </w:rPr>
        <w:t xml:space="preserve">Unser AWS-Konto: 579138738703</w:t>
      </w:r>
    </w:p>
    <w:p>
      <w:pPr>
        <w:pStyle w:val="Heading1"/>
        <w:spacing w:after="150" w:before="380"/>
      </w:pPr>
      <w:r>
        <w:t xml:space="preserve">Belehrung und Verpflichtung zur Verschwiegenheit nach § 43e BRAO</w:t>
      </w:r>
    </w:p>
    <w:p>
      <w:pPr>
        <w:spacing w:after="140"/>
      </w:pPr>
      <w:r>
        <w:t xml:space="preserve">Sehr geehrte Damen und Herren,</w:t>
      </w:r>
    </w:p>
    <w:p>
      <w:pPr>
        <w:spacing w:after="140"/>
      </w:pPr>
      <w:r>
        <w:t xml:space="preserve">wir sind eine Rechtsanwaltskanzlei. Die Daten, die wir im Rahmen der von Ihnen erbrachten Leistungen verarbeiten lassen, stammen aus Mandatsakten. Sie unterliegen der anwaltlichen Verschwiegenheitspflicht nach § 43a Abs. 2 BRAO und dem Schutz des § 203 StGB.</w:t>
      </w:r>
    </w:p>
    <w:p>
      <w:pPr>
        <w:spacing w:after="140"/>
      </w:pPr>
      <w:r>
        <w:t xml:space="preserve">Wir belehren Sie hiermit über Folgendes und verpflichten Sie zur Verschwiegenheit:</w:t>
      </w:r>
    </w:p>
    <w:p>
      <w:pPr>
        <w:spacing w:after="140"/>
      </w:pPr>
      <w:r>
        <w:rPr>
          <w:b/>
          <w:bCs/>
        </w:rPr>
        <w:t xml:space="preserve">1. Sie sind eine mitwirkende Person.</w:t>
      </w:r>
      <w:r>
        <w:t xml:space="preserve"> Soweit Sie für uns Daten aus Mandatsverhältnissen verarbeiten, sind Sie eine an unserer beruflichen Tätigkeit mitwirkende Person im Sinne des § 203 Abs. 3 StGB. Die Offenbarung dieser Daten Ihnen gegenüber ist uns gestattet, soweit sie für die Inanspruchnahme Ihrer Leistungen erforderlich ist.</w:t>
      </w:r>
    </w:p>
    <w:p>
      <w:pPr>
        <w:spacing w:after="140"/>
      </w:pPr>
      <w:r>
        <w:rPr>
          <w:b/>
          <w:bCs/>
        </w:rPr>
        <w:t xml:space="preserve">2. Die unbefugte Offenbarung ist strafbar.</w:t>
      </w:r>
      <w:r>
        <w:t xml:space="preserve"> Nach § 203 Abs. 4 StGB macht sich strafbar, wer als mitwirkende Person ein fremdes Geheimnis unbefugt offenbart, das ihr bei der Ausübung oder bei Gelegenheit ihrer Tätigkeit bekannt geworden ist. Das gilt für Ihr Unternehmen ebenso wie für die bei Ihnen beschäftigten Personen.</w:t>
      </w:r>
    </w:p>
    <w:p>
      <w:pPr>
        <w:spacing w:after="140"/>
      </w:pPr>
      <w:r>
        <w:rPr>
          <w:b/>
          <w:bCs/>
        </w:rPr>
        <w:t xml:space="preserve">3. Wir verpflichten Sie zur Verschwiegenheit.</w:t>
      </w:r>
      <w:r>
        <w:t xml:space="preserve"> Sie haben über alle Geheimnisse, die Ihnen im Rahmen der Leistungserbringung für uns bekannt werden, Verschwiegenheit zu wahren. Die Verpflichtung gilt zeitlich unbegrenzt und besteht nach Beendigung des Vertragsverhältnisses fort.</w:t>
      </w:r>
    </w:p>
    <w:p>
      <w:pPr>
        <w:spacing w:after="140"/>
      </w:pPr>
      <w:r>
        <w:rPr>
          <w:b/>
          <w:bCs/>
        </w:rPr>
        <w:t xml:space="preserve">4. Sie haben die Verpflichtung weiterzugeben.</w:t>
      </w:r>
      <w:r>
        <w:t xml:space="preserve"> Die Verschwiegenheit ist den bei Ihnen beschäftigten Personen und den von Ihnen eingesetzten Unterauftragsverarbeitern in gleichem Umfang aufzuerlegen.</w:t>
      </w:r>
    </w:p>
    <w:p>
      <w:pPr>
        <w:spacing w:after="140"/>
      </w:pPr>
      <w:r>
        <w:rPr>
          <w:b/>
          <w:bCs/>
        </w:rPr>
        <w:t xml:space="preserve">5. Dieses Schreiben ergänzt den Vertrag, es ändert ihn nicht.</w:t>
      </w:r>
      <w:r>
        <w:t xml:space="preserve"> Der zwischen uns bestehende Auftragsverarbeitungsvertrag und die AWS-Kundenvereinbarung bleiben unberührt. Wir erfüllen mit diesem Schreiben unsere Pflicht aus § 43e BRAO, Sie in Textform zur Verschwiegenheit zu verpflichten und über die strafrechtlichen Folgen einer Verletzung zu belehren.</w:t>
      </w:r>
    </w:p>
    <w:p>
      <w:pPr>
        <w:spacing w:after="140"/>
      </w:pPr>
      <w:r>
        <w:rPr>
          <w:b/>
          <w:bCs/>
        </w:rPr>
        <w:t xml:space="preserve">Eine Antwort erwarten wir nicht.</w:t>
      </w:r>
      <w:r>
        <w:t xml:space="preserve"> Sollten Sie der Auffassung sein, dass einzelne der vorstehenden Punkte Ihren Vertragsbedingungen widersprechen, bitten wir um Mitteilung.</w:t>
      </w:r>
    </w:p>
    <w:p>
      <w:pPr>
        <w:spacing w:after="140"/>
      </w:pPr>
      <w:r>
        <w:t xml:space="preserve">Mit freundlichen Grüßen</w:t>
      </w:r>
    </w:p>
    <w:p>
      <w:pPr>
        <w:spacing w:after="140"/>
      </w:pPr>
      <w:r>
        <w:t xml:space="preserve">............................................................ </w:t>
      </w:r>
      <w:r>
        <w:rPr>
          <w:i/>
          <w:iCs/>
        </w:rPr>
        <w:t xml:space="preserve">Rechtsanwalt</w:t>
      </w:r>
    </w:p>
    <w:p>
      <w:pPr>
        <w:pBdr>
          <w:bottom w:val="single" w:color="999999" w:sz="6" w:space="8"/>
        </w:pBdr>
        <w:spacing w:after="200" w:before="200"/>
      </w:pPr>
    </w:p>
    <w:p>
      <w:pPr>
        <w:pStyle w:val="Title"/>
        <w:spacing w:after="200"/>
      </w:pPr>
      <w:r>
        <w:t xml:space="preserve">Teil B · Für die Kanzlei</w:t>
      </w:r>
    </w:p>
    <w:p>
      <w:pPr>
        <w:pStyle w:val="Heading1"/>
        <w:spacing w:after="150" w:before="380"/>
      </w:pPr>
      <w:r>
        <w:t xml:space="preserve">Warum dieses Schreiben überhaupt nötig ist</w:t>
      </w:r>
    </w:p>
    <w:p>
      <w:pPr>
        <w:spacing w:after="140"/>
      </w:pPr>
      <w:r>
        <w:t xml:space="preserve">§ 43e BRAO erlaubt die Einschaltung eines Dienstleisters, knüpft sie aber an einen Vertrag in </w:t>
      </w:r>
      <w:r>
        <w:rPr>
          <w:b/>
          <w:bCs/>
        </w:rPr>
        <w:t xml:space="preserve">Textform</w:t>
      </w:r>
      <w:r>
        <w:t xml:space="preserve">, in dem der Dienstleister zur Verschwiegenheit </w:t>
      </w:r>
      <w:r>
        <w:rPr>
          <w:b/>
          <w:bCs/>
        </w:rPr>
        <w:t xml:space="preserve">verpflichtet</w:t>
      </w:r>
      <w:r>
        <w:t xml:space="preserve"> und über die strafrechtlichen Folgen </w:t>
      </w:r>
      <w:r>
        <w:rPr>
          <w:b/>
          <w:bCs/>
        </w:rPr>
        <w:t xml:space="preserve">belehrt</w:t>
      </w:r>
      <w:r>
        <w:t xml:space="preserve"> wird.</w:t>
      </w:r>
    </w:p>
    <w:p>
      <w:pPr>
        <w:spacing w:after="140"/>
      </w:pPr>
      <w:r>
        <w:t xml:space="preserve">Der Vertrag mit AWS enthält eine Verschwiegenheitsregelung. </w:t>
      </w:r>
      <w:r>
        <w:rPr>
          <w:b/>
          <w:bCs/>
        </w:rPr>
        <w:t xml:space="preserve">Was er nicht enthält, ist die Belehrung</w:t>
      </w:r>
      <w:r>
        <w:t xml:space="preserve"> — eine auf § 203 StGB zugeschnittene Erklärung steht in keinem der drei Stücke, und AWS verhandelt seine Verträge nicht.</w:t>
      </w:r>
    </w:p>
    <w:p>
      <w:pPr>
        <w:pBdr>
          <w:left w:val="single" w:color="888888" w:sz="12" w:space="12"/>
        </w:pBdr>
        <w:spacing w:after="200" w:before="180"/>
        <w:ind w:left="340"/>
      </w:pPr>
      <w:r>
        <w:rPr>
          <w:b/>
          <w:bCs/>
        </w:rPr>
        <w:t xml:space="preserve">Das ist kein Mangel dieser Kanzlei, sondern der Lage.</w:t>
      </w:r>
      <w:r>
        <w:t xml:space="preserve"> Kein großer Cloud-Anbieter unterzeichnet eine Verpflichtungserklärung nach deutschem Berufsrecht. Wer diese Dienste nutzt, steht vor derselben Frage — nur beantworten die wenigsten sie schriftlich.</w:t>
      </w:r>
    </w:p>
    <w:p>
      <w:pPr>
        <w:spacing w:after="140"/>
      </w:pPr>
      <w:r>
        <w:rPr>
          <w:b/>
          <w:bCs/>
        </w:rPr>
        <w:t xml:space="preserve">Die Belehrung ist eine Pflicht der Kanzlei, keine Leistung des Dienstleisters.</w:t>
      </w:r>
      <w:r>
        <w:t xml:space="preserve"> Sie lässt sich deshalb einseitig erfüllen: Sie wirkt, wenn sie den Empfänger erreicht. Ob er sie bestätigt, steht im Gesetz nicht.</w:t>
      </w:r>
    </w:p>
    <w:p>
      <w:pPr>
        <w:pStyle w:val="Heading1"/>
        <w:spacing w:after="150" w:before="380"/>
      </w:pPr>
      <w:r>
        <w:t xml:space="preserve">Wie es abgesandt wird</w:t>
      </w:r>
    </w:p>
    <w:p>
      <w:pPr>
        <w:spacing w:after="140"/>
      </w:pPr>
      <w:r>
        <w:rPr>
          <w:b/>
          <w:bCs/>
        </w:rPr>
        <w:t xml:space="preserve">Auf dem Postweg, als Einschreiben</w:t>
      </w:r>
      <w:r>
        <w:t xml:space="preserve">, an die Anschrift des Vertragspartners aus der Kundenvereinbarung. Das ist der Weg, der einen Zugangsnachweis erzeugt, und der Zugang ist hier alles.</w:t>
      </w:r>
    </w:p>
    <w:p>
      <w:pPr>
        <w:spacing w:after="140"/>
      </w:pPr>
      <w:r>
        <w:rPr>
          <w:b/>
          <w:bCs/>
        </w:rPr>
        <w:t xml:space="preserve">Zusätzlich</w:t>
      </w:r>
      <w:r>
        <w:t xml:space="preserve"> empfiehlt sich ein AWS-Support-Fall mit demselben Text — er trägt eine Fallnummer und ist später leichter aufzufinden als ein Einlieferungsbeleg. Er ersetzt den Brief nicht.</w:t>
      </w:r>
    </w:p>
    <w:p>
      <w:pPr>
        <w:pBdr>
          <w:left w:val="single" w:color="888888" w:sz="12" w:space="12"/>
        </w:pBdr>
        <w:spacing w:after="200" w:before="180"/>
        <w:ind w:left="340"/>
      </w:pPr>
      <w:r>
        <w:rPr>
          <w:b/>
          <w:bCs/>
        </w:rPr>
        <w:t xml:space="preserve">Was in beides nicht gehört, und das ist keine Förmelei:</w:t>
      </w:r>
      <w:r>
        <w:t xml:space="preserve"> kein Akteninhalt, kein Beispiel, kein Bildschirmfoto mit Text. Nach Ziffer 6.5 der AWS-Kundenvereinbarung überträgt ein „Vorschlag" an AWS diesem unwiderruflich sämtliche Rechte daran. Das Schreiben in Teil A enthält deshalb nichts als Kontonummer, Rechtslage und Verpflichtung.</w:t>
      </w:r>
    </w:p>
    <w:p>
      <w:pPr>
        <w:pStyle w:val="Heading1"/>
        <w:spacing w:after="150" w:before="380"/>
      </w:pPr>
      <w:r>
        <w:t xml:space="preserve">Was in die Datenschutzakte kommt</w:t>
      </w:r>
    </w:p>
    <w:p>
      <w:pPr>
        <w:pStyle w:val="ListParagraph"/>
        <w:numPr>
          <w:ilvl w:val="0"/>
          <w:numId w:val="2"/>
        </w:numPr>
        <w:spacing w:after="100"/>
      </w:pPr>
      <w:r>
        <w:t xml:space="preserve">Eine </w:t>
      </w:r>
      <w:r>
        <w:rPr>
          <w:b/>
          <w:bCs/>
        </w:rPr>
        <w:t xml:space="preserve">Kopie des abgesandten Schreibens</w:t>
      </w:r>
      <w:r>
        <w:t xml:space="preserve">, mit Datum.</w:t>
      </w:r>
    </w:p>
    <w:p>
      <w:pPr>
        <w:pStyle w:val="ListParagraph"/>
        <w:numPr>
          <w:ilvl w:val="0"/>
          <w:numId w:val="2"/>
        </w:numPr>
        <w:spacing w:after="100"/>
      </w:pPr>
      <w:r>
        <w:t xml:space="preserve">Der </w:t>
      </w:r>
      <w:r>
        <w:rPr>
          <w:b/>
          <w:bCs/>
        </w:rPr>
        <w:t xml:space="preserve">Einlieferungsbeleg</w:t>
      </w:r>
      <w:r>
        <w:t xml:space="preserve"> der Post, bei Einschreiben zusätzlich der Auslieferungsnachweis.</w:t>
      </w:r>
    </w:p>
    <w:p>
      <w:pPr>
        <w:pStyle w:val="ListParagraph"/>
        <w:numPr>
          <w:ilvl w:val="0"/>
          <w:numId w:val="2"/>
        </w:numPr>
        <w:spacing w:after="100"/>
      </w:pPr>
      <w:r>
        <w:t xml:space="preserve">Gegebenenfalls die </w:t>
      </w:r>
      <w:r>
        <w:rPr>
          <w:b/>
          <w:bCs/>
        </w:rPr>
        <w:t xml:space="preserve">Fallnummer</w:t>
      </w:r>
      <w:r>
        <w:t xml:space="preserve"> des Support-Falls.</w:t>
      </w:r>
    </w:p>
    <w:p>
      <w:pPr>
        <w:pStyle w:val="ListParagraph"/>
        <w:numPr>
          <w:ilvl w:val="0"/>
          <w:numId w:val="2"/>
        </w:numPr>
        <w:spacing w:after="100"/>
      </w:pPr>
      <w:r>
        <w:t xml:space="preserve">Eine </w:t>
      </w:r>
      <w:r>
        <w:rPr>
          <w:b/>
          <w:bCs/>
        </w:rPr>
        <w:t xml:space="preserve">Antwort von AWS</w:t>
      </w:r>
      <w:r>
        <w:t xml:space="preserve">, falls eine kommt — auch eine ablehnende. Gerade eine ablehnende.</w:t>
      </w:r>
    </w:p>
    <w:p>
      <w:pPr>
        <w:spacing w:after="140"/>
      </w:pPr>
      <w:r>
        <w:t xml:space="preserve">Dazu der Vermerk:</w:t>
      </w:r>
    </w:p>
    <w:p>
      <w:pPr>
        <w:pBdr>
          <w:left w:val="single" w:color="888888" w:sz="12" w:space="12"/>
        </w:pBdr>
        <w:spacing w:after="200" w:before="180"/>
        <w:ind w:left="340"/>
      </w:pPr>
      <w:r>
        <w:rPr>
          <w:i/>
          <w:iCs/>
        </w:rPr>
        <w:t xml:space="preserve">„Belehrung und Verpflichtung zur Verschwiegenheit nach § 43e BRAO an den Auftragsverarbeiter abgesandt am TT.MM.JJJJ, Einschreiben Nr. .......... Eine Gegenerklärung liegt nicht vor; der Auftragsverarbeitungsvertrag enthält eine Verschwiegenheitsregelung."</w:t>
      </w:r>
    </w:p>
    <w:p>
      <w:pPr>
        <w:pStyle w:val="Heading1"/>
        <w:spacing w:after="150" w:before="380"/>
      </w:pPr>
      <w:r>
        <w:t xml:space="preserve">Was dieses Schreiben nicht leistet</w:t>
      </w:r>
    </w:p>
    <w:p>
      <w:pPr>
        <w:spacing w:after="140"/>
      </w:pPr>
      <w:r>
        <w:rPr>
          <w:b/>
          <w:bCs/>
        </w:rPr>
        <w:t xml:space="preserve">Es macht aus einer bestrittenen Rechtslage keine sichere.</w:t>
      </w:r>
      <w:r>
        <w:t xml:space="preserve"> Wer meint, § 43e verlange eine beidseitige Erklärung, wird das weiter meinen. Diese Stelle bleibt das größte rechtliche Restrisiko des ganzen Vorhabens, und sie steht als solche in Abschnitt 7 der Folgenabschätzung — im Text und nicht in einer Fußnote.</w:t>
      </w:r>
    </w:p>
    <w:p>
      <w:pPr>
        <w:pBdr>
          <w:left w:val="single" w:color="888888" w:sz="12" w:space="12"/>
        </w:pBdr>
        <w:spacing w:after="200" w:before="180"/>
        <w:ind w:left="340"/>
      </w:pPr>
      <w:r>
        <w:rPr>
          <w:b/>
          <w:bCs/>
        </w:rPr>
        <w:t xml:space="preserve">Der Rat, ausdrücklich:</w:t>
      </w:r>
      <w:r>
        <w:t xml:space="preserve"> Absenden, Nachweis ablegen, Vorbehalt stehen lassen. </w:t>
      </w:r>
      <w:r>
        <w:rPr>
          <w:b/>
          <w:bCs/>
        </w:rPr>
        <w:t xml:space="preserve">Nicht:</w:t>
      </w:r>
      <w:r>
        <w:t xml:space="preserve"> die Stelle für geklärt erklären, weil der Vertrag „eine Verschwiegenheitsregelung enthält". Das ist sie nicht.</w:t>
      </w:r>
    </w:p>
    <w:p>
      <w:pPr>
        <w:pStyle w:val="Heading1"/>
        <w:spacing w:after="150" w:before="380"/>
      </w:pPr>
      <w:r>
        <w:t xml:space="preserve">Drei Dinge, die dazugehören und oft vergessen werden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954"/>
      </w:tblGrid>
      <w:tr>
        <w:trPr>
          <w:cantSplit/>
        </w:trPr>
        <w:tc>
          <w:tcPr>
            <w:tcW w:type="dxa" w:w="2400"/>
            <w:tcMar>
              <w:top w:type="dxa" w:w="70"/>
              <w:left w:type="dxa" w:w="110"/>
              <w:bottom w:type="dxa" w:w="70"/>
              <w:right w:type="dxa" w:w="110"/>
            </w:tcMar>
          </w:tcPr>
          <w:p>
            <w:pPr>
              <w:spacing w:after="0"/>
            </w:pPr>
            <w:r>
              <w:rPr>
                <w:b/>
                <w:bCs/>
              </w:rPr>
              <w:t xml:space="preserve">Bei einem Anbieterwechsel</w:t>
            </w:r>
            <w:r>
              <w:t xml:space="preserve"> ist das Schreiben neu zu versenden</w:t>
            </w:r>
          </w:p>
        </w:tc>
        <w:tc>
          <w:tcPr>
            <w:tcW w:type="dxa" w:w="6954"/>
            <w:tcMar>
              <w:top w:type="dxa" w:w="70"/>
              <w:left w:type="dxa" w:w="110"/>
              <w:bottom w:type="dxa" w:w="70"/>
              <w:right w:type="dxa" w:w="110"/>
            </w:tcMar>
          </w:tcPr>
          <w:p>
            <w:pPr>
              <w:spacing w:after="0"/>
            </w:pPr>
            <w:r>
              <w:t xml:space="preserve">Die Verpflichtung gilt dem Vertragspartner, nicht der Technik</w:t>
            </w:r>
          </w:p>
        </w:tc>
      </w:tr>
      <w:tr>
        <w:trPr>
          <w:cantSplit/>
        </w:trPr>
        <w:tc>
          <w:tcPr>
            <w:tcW w:type="dxa" w:w="2400"/>
            <w:tcMar>
              <w:top w:type="dxa" w:w="70"/>
              <w:left w:type="dxa" w:w="110"/>
              <w:bottom w:type="dxa" w:w="70"/>
              <w:right w:type="dxa" w:w="110"/>
            </w:tcMar>
          </w:tcPr>
          <w:p>
            <w:pPr>
              <w:spacing w:after="0"/>
            </w:pPr>
            <w:r>
              <w:rPr>
                <w:b/>
                <w:bCs/>
              </w:rPr>
              <w:t xml:space="preserve">Bei einer neuen Leistung desselben Anbieters</w:t>
            </w:r>
            <w:r>
              <w:t xml:space="preserve"> genügt das vorhandene Schreiben</w:t>
            </w:r>
          </w:p>
        </w:tc>
        <w:tc>
          <w:tcPr>
            <w:tcW w:type="dxa" w:w="6954"/>
            <w:tcMar>
              <w:top w:type="dxa" w:w="70"/>
              <w:left w:type="dxa" w:w="110"/>
              <w:bottom w:type="dxa" w:w="70"/>
              <w:right w:type="dxa" w:w="110"/>
            </w:tcMar>
          </w:tcPr>
          <w:p>
            <w:pPr>
              <w:spacing w:after="0"/>
            </w:pPr>
            <w:r>
              <w:t xml:space="preserve">Es ist nicht auf einen einzelnen Dienst bezogen</w:t>
            </w:r>
          </w:p>
        </w:tc>
      </w:tr>
      <w:tr>
        <w:trPr>
          <w:cantSplit/>
        </w:trPr>
        <w:tc>
          <w:tcPr>
            <w:tcW w:type="dxa" w:w="2400"/>
            <w:tcMar>
              <w:top w:type="dxa" w:w="70"/>
              <w:left w:type="dxa" w:w="110"/>
              <w:bottom w:type="dxa" w:w="70"/>
              <w:right w:type="dxa" w:w="110"/>
            </w:tcMar>
          </w:tcPr>
          <w:p>
            <w:pPr>
              <w:spacing w:after="0"/>
            </w:pPr>
            <w:r>
              <w:rPr>
                <w:b/>
                <w:bCs/>
              </w:rPr>
              <w:t xml:space="preserve">Für Unterauftragsverarbeiter</w:t>
            </w:r>
            <w:r>
              <w:t xml:space="preserve"> verpflichtet Ziffer 4 des Schreibens AWS zur Weitergabe</w:t>
            </w:r>
          </w:p>
        </w:tc>
        <w:tc>
          <w:tcPr>
            <w:tcW w:type="dxa" w:w="6954"/>
            <w:tcMar>
              <w:top w:type="dxa" w:w="70"/>
              <w:left w:type="dxa" w:w="110"/>
              <w:bottom w:type="dxa" w:w="70"/>
              <w:right w:type="dxa" w:w="110"/>
            </w:tcMar>
          </w:tcPr>
          <w:p>
            <w:pPr>
              <w:spacing w:after="0"/>
            </w:pPr>
            <w:r>
              <w:t xml:space="preserve">Eine eigene Belehrung der Kanzlei an diese ist weder möglich noch nötig</w:t>
            </w:r>
          </w:p>
        </w:tc>
      </w:tr>
    </w:tbl>
    <w:p>
      <w:pPr>
        <w:spacing w:after="160"/>
      </w:pPr>
    </w:p>
    <w:p>
      <w:pPr>
        <w:pBdr>
          <w:bottom w:val="single" w:color="999999" w:sz="6" w:space="8"/>
        </w:pBdr>
        <w:spacing w:after="200" w:before="200"/>
      </w:pPr>
    </w:p>
    <w:p>
      <w:pPr>
        <w:spacing w:after="140"/>
      </w:pPr>
      <w:r>
        <w:rPr>
          <w:i/>
          <w:iCs/>
        </w:rPr>
        <w:t xml:space="preserve">Entwurf vom 15. Oktober 2026. Keine Rechtsberatung.</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decimal"/>
      <w:lvlText w:val="%1."/>
      <w:lvlJc w:val="start"/>
      <w:pPr>
        <w:ind w:left="700" w:hanging="340"/>
      </w:pPr>
    </w:lvl>
  </w:abstractNum>
  <w:abstractNum w:abstractNumId="4"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2"/>
        <w:szCs w:val="22"/>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36"/>
      <w:szCs w:val="36"/>
    </w:rPr>
  </w:style>
  <w:style w:type="paragraph" w:styleId="Heading1">
    <w:name w:val="Heading 1"/>
    <w:basedOn w:val="Normal"/>
    <w:next w:val="Normal"/>
    <w:qFormat/>
    <w:rPr>
      <w:rFonts w:ascii="Franklin Gothic Book" w:cs="Franklin Gothic Book" w:eastAsia="Franklin Gothic Book" w:hAnsi="Franklin Gothic Book"/>
      <w:b/>
      <w:bCs/>
      <w:color w:val="000000"/>
      <w:sz w:val="26"/>
      <w:szCs w:val="26"/>
    </w:rPr>
  </w:style>
  <w:style w:type="paragraph" w:styleId="Heading2">
    <w:name w:val="Heading 2"/>
    <w:basedOn w:val="Normal"/>
    <w:next w:val="Normal"/>
    <w:qFormat/>
    <w:rPr>
      <w:rFonts w:ascii="Franklin Gothic Book" w:cs="Franklin Gothic Book" w:eastAsia="Franklin Gothic Book" w:hAnsi="Franklin Gothic Book"/>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BELEHRUNG-AWS</dc:title>
  <dc:creator>Dortschy, Thunert und Partner mbB</dc:creator>
  <cp:lastModifiedBy>Un-named</cp:lastModifiedBy>
  <cp:revision>1</cp:revision>
  <dcterms:created xsi:type="dcterms:W3CDTF">2026-10-15T16:24:11.193Z</dcterms:created>
  <dcterms:modified xsi:type="dcterms:W3CDTF">2026-10-15T16:24:11.202Z</dcterms:modified>
</cp:coreProperties>
</file>

<file path=docProps/custom.xml><?xml version="1.0" encoding="utf-8"?>
<Properties xmlns="http://schemas.openxmlformats.org/officeDocument/2006/custom-properties" xmlns:vt="http://schemas.openxmlformats.org/officeDocument/2006/docPropsVTypes"/>
</file>