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Allgemeine Mandatsbedingungen</w:t>
      </w:r>
    </w:p>
    <w:p>
      <w:pPr>
        <w:spacing w:after="140"/>
      </w:pPr>
      <w:r>
        <w:rPr>
          <w:b/>
          <w:bCs/>
        </w:rPr>
        <w:t xml:space="preserve">Dortschy, Thunert und Partner mbB</w:t>
      </w:r>
      <w:r>
        <w:t xml:space="preserve"> · Stand: 15. Oktober 2026 </w:t>
      </w:r>
      <w:r>
        <w:rPr>
          <w:i/>
          <w:iCs/>
        </w:rPr>
        <w:t xml:space="preserve">(ersetzt den Stand 01.05.2026)</w:t>
      </w:r>
    </w:p>
    <w:p>
      <w:pPr>
        <w:pBdr>
          <w:left w:val="single" w:color="888888" w:sz="12" w:space="12"/>
        </w:pBdr>
        <w:spacing w:after="200" w:before="180"/>
        <w:ind w:left="340"/>
      </w:pPr>
      <w:r>
        <w:rPr>
          <w:b/>
          <w:bCs/>
        </w:rPr>
        <w:t xml:space="preserve">Entwurf zur Übernahme, keine Rechtsberatung.</w:t>
      </w:r>
      <w:r>
        <w:t xml:space="preserve"> Geändert gegenüber dem Stand 01.05.2026 sind § 3 Abs. 3, der neue § 3a, § 5 Abs. 2, § 10 Abs. 2 und drei sprachliche Stellen. Alles Übrige ist unverändert. Siehe </w:t>
      </w:r>
      <w:r>
        <w:rPr>
          <w:rFonts w:ascii="Consolas" w:cs="Consolas" w:eastAsia="Consolas" w:hAnsi="Consolas"/>
        </w:rPr>
        <w:t xml:space="preserve">AENDERUNGEN-MANDATSUNTERLAGEN-15.10.2026.md</w:t>
      </w:r>
      <w:r>
        <w:t xml:space="preserve">.</w:t>
      </w:r>
    </w:p>
    <w:p>
      <w:pPr>
        <w:pBdr>
          <w:bottom w:val="single" w:color="999999" w:sz="6" w:space="8"/>
        </w:pBdr>
        <w:spacing w:after="200" w:before="200"/>
      </w:pPr>
    </w:p>
    <w:p>
      <w:pPr>
        <w:pStyle w:val="Heading1"/>
        <w:spacing w:after="150" w:before="380"/>
      </w:pPr>
      <w:r>
        <w:t xml:space="preserve">§ 1 Geltungsbereich und Vertragspartner</w:t>
      </w:r>
    </w:p>
    <w:p>
      <w:pPr>
        <w:spacing w:after="140"/>
      </w:pPr>
      <w:r>
        <w:t xml:space="preserve">Diese Allgemeinen Mandatsbedingungen gelten für alle Mandate zwischen der Dortschy, Thunert und Partner mbB, Stolper Straße 4, 22145 Hamburg, nachfolgend „Kanzlei", und ihren Mandantinnen und Mandanten, nachfolgend „Mandant", soweit nicht im Einzelfall ausdrücklich etwas Abweichendes vereinbart wird.</w:t>
      </w:r>
    </w:p>
    <w:p>
      <w:pPr>
        <w:spacing w:after="140"/>
      </w:pPr>
      <w:r>
        <w:t xml:space="preserve">Vertragspartner des Mandanten ist ausschließlich die Kanzlei als Partnerschaftsgesellschaft mit beschränkter Berufshaftung. Einzelne Partner, angestellte Rechtsanwälte oder sonstige Berufsträger werden nicht persönlich Vertragspartner des Mandanten, soweit nicht ausdrücklich etwas anderes vereinbart ist.</w:t>
      </w:r>
    </w:p>
    <w:p>
      <w:pPr>
        <w:spacing w:after="140"/>
      </w:pPr>
      <w:r>
        <w:t xml:space="preserve">Individuelle Vereinbarungen, insbesondere Vergütungsvereinbarungen, Mandatsbestätigungen oder Vollmachten, gehen diesen Allgemeinen Mandatsbedingungen vor.</w:t>
      </w:r>
    </w:p>
    <w:p>
      <w:pPr>
        <w:pStyle w:val="Heading1"/>
        <w:spacing w:after="150" w:before="380"/>
      </w:pPr>
      <w:r>
        <w:t xml:space="preserve">§ 2 Zustandekommen und Umfang des Mandats</w:t>
      </w:r>
    </w:p>
    <w:p>
      <w:pPr>
        <w:spacing w:after="140"/>
      </w:pPr>
      <w:r>
        <w:t xml:space="preserve">Ein Mandatsverhältnis kommt erst zustande, wenn die Kanzlei das Mandat ausdrücklich annimmt. Die Übersendung von Unterlagen, die Anfrage des Mandanten oder eine erste Sachverhaltsschilderung begründen für sich genommen noch kein Mandatsverhältnis.</w:t>
      </w:r>
    </w:p>
    <w:p>
      <w:pPr>
        <w:spacing w:after="140"/>
      </w:pPr>
      <w:r>
        <w:t xml:space="preserve">Gegenstand des Mandats ist die vereinbarte anwaltliche Tätigkeit. Ein bestimmter rechtlicher, wirtschaftlicher oder tatsächlicher Erfolg wird nicht geschuldet.</w:t>
      </w:r>
    </w:p>
    <w:p>
      <w:pPr>
        <w:spacing w:after="140"/>
      </w:pPr>
      <w:r>
        <w:t xml:space="preserve">Der Umfang des Mandats richtet sich nach der Mandatsvereinbarung, der Vollmacht und den erteilten Weisungen. Ohne gesonderte Vereinbarung umfasst das Mandat insbesondere nicht:</w:t>
      </w:r>
    </w:p>
    <w:p>
      <w:pPr>
        <w:pStyle w:val="ListParagraph"/>
        <w:numPr>
          <w:ilvl w:val="0"/>
          <w:numId w:val="2"/>
        </w:numPr>
        <w:spacing w:after="100"/>
      </w:pPr>
      <w:r>
        <w:t xml:space="preserve">die steuerliche Beratung,</w:t>
      </w:r>
    </w:p>
    <w:p>
      <w:pPr>
        <w:pStyle w:val="ListParagraph"/>
        <w:numPr>
          <w:ilvl w:val="0"/>
          <w:numId w:val="2"/>
        </w:numPr>
        <w:spacing w:after="100"/>
      </w:pPr>
      <w:r>
        <w:t xml:space="preserve">die Beratung zu ausländischem Recht,</w:t>
      </w:r>
    </w:p>
    <w:p>
      <w:pPr>
        <w:pStyle w:val="ListParagraph"/>
        <w:numPr>
          <w:ilvl w:val="0"/>
          <w:numId w:val="2"/>
        </w:numPr>
        <w:spacing w:after="100"/>
      </w:pPr>
      <w:r>
        <w:t xml:space="preserve">die Einlegung oder Begründung von Rechtsmitteln oder Rechtsbehelfen,</w:t>
      </w:r>
    </w:p>
    <w:p>
      <w:pPr>
        <w:pStyle w:val="ListParagraph"/>
        <w:numPr>
          <w:ilvl w:val="0"/>
          <w:numId w:val="2"/>
        </w:numPr>
        <w:spacing w:after="100"/>
      </w:pPr>
      <w:r>
        <w:t xml:space="preserve">Vollstreckungsmaßnahmen,</w:t>
      </w:r>
    </w:p>
    <w:p>
      <w:pPr>
        <w:pStyle w:val="ListParagraph"/>
        <w:numPr>
          <w:ilvl w:val="0"/>
          <w:numId w:val="2"/>
        </w:numPr>
        <w:spacing w:after="100"/>
      </w:pPr>
      <w:r>
        <w:t xml:space="preserve">die Überwachung nicht ausdrücklich mitgeteilter Fristen,</w:t>
      </w:r>
    </w:p>
    <w:p>
      <w:pPr>
        <w:pStyle w:val="ListParagraph"/>
        <w:numPr>
          <w:ilvl w:val="0"/>
          <w:numId w:val="2"/>
        </w:numPr>
        <w:spacing w:after="100"/>
      </w:pPr>
      <w:r>
        <w:t xml:space="preserve">die Prüfung versicherungs-, sozialversicherungs-, datenschutz- oder strafrechtlicher Nebenfolgen, soweit diese nicht Gegenstand des Mandats sind.</w:t>
      </w:r>
    </w:p>
    <w:p>
      <w:pPr>
        <w:spacing w:after="140"/>
      </w:pPr>
      <w:r>
        <w:t xml:space="preserve">Eine Erweiterung des Mandats bedarf der Annahme durch die Kanzlei.</w:t>
      </w:r>
    </w:p>
    <w:p>
      <w:pPr>
        <w:pStyle w:val="Heading1"/>
        <w:spacing w:after="150" w:before="380"/>
      </w:pPr>
      <w:r>
        <w:t xml:space="preserve">§ 3 Mandatsbearbeitung und Einschaltung Dritter</w:t>
      </w:r>
    </w:p>
    <w:p>
      <w:pPr>
        <w:spacing w:after="140"/>
      </w:pPr>
      <w:r>
        <w:t xml:space="preserve">Die Kanzlei kann das Mandat durch ihre Partner, angestellte Rechtsanwälte, freie Mitarbeiter, wissenschaftliche Mitarbeiter, Referendare, Rechtsanwaltsfachangestellte und sonstige geeignete Mitarbeitende bearbeiten lassen, soweit dies berufsrechtlich zulässig ist.</w:t>
      </w:r>
    </w:p>
    <w:p>
      <w:pPr>
        <w:spacing w:after="140"/>
      </w:pPr>
      <w:r>
        <w:t xml:space="preserve">Die Kanzlei ist berechtigt, zur sachgerechten Mandatsbearbeitung Terminsvertreter, Unterbevollmächtigte oder spezialisierte Berufsträger einzuschalten, soweit dies erforderlich oder zweckmäßig ist. Für Termine außerhalb des Stadtgebiets von Hamburg schaltet die Kanzlei in der Regel Terminsvertreter ein. Entstehen durch die Einschaltung zusätzliche, nicht gesetzlich erstattungsfähige Kosten, wird die Kanzlei vorher die Zustimmung des Mandanten einholen, sofern keine besondere Eilbedürftigkeit besteht.</w:t>
      </w:r>
    </w:p>
    <w:p>
      <w:pPr>
        <w:spacing w:after="140"/>
      </w:pPr>
      <w:r>
        <w:t xml:space="preserve">Die anwaltliche Verschwiegenheitspflicht bleibt unberührt. Die Kanzlei ist berechtigt, sich zur Bearbeitung des Mandats </w:t>
      </w:r>
      <w:r>
        <w:rPr>
          <w:b/>
          <w:bCs/>
        </w:rPr>
        <w:t xml:space="preserve">Dienstleister zu bedienen, die Daten ausschließlich nach ihrer Weisung und für sie verarbeiten</w:t>
      </w:r>
      <w:r>
        <w:t xml:space="preserve"> (Auftragsverarbeiter nach Art. 28 DSGVO) — insbesondere für Kanzleisoftware, elektronische Akte, IT-Betreuung, Datensicherung und Aktenvernichtung sowie für das in § 3a beschriebene Hilfsmittel. Diese Dienstleister sind nach § 43e Abs. 3 BRAO zur Verschwiegenheit verpflichtet; mit ihnen bestehen Verträge nach Art. 28 Abs. 3 DSGVO. </w:t>
      </w:r>
      <w:r>
        <w:rPr>
          <w:b/>
          <w:bCs/>
        </w:rPr>
        <w:t xml:space="preserve">Im Übrigen</w:t>
      </w:r>
      <w:r>
        <w:t xml:space="preserve"> werden externe Dienstleister oder Dritte nur eingebunden, soweit dies berufsrechtlich zulässig ist oder der Mandant eingewilligt hat.</w:t>
      </w:r>
    </w:p>
    <w:p>
      <w:pPr>
        <w:pStyle w:val="Heading1"/>
        <w:spacing w:after="150" w:before="380"/>
      </w:pPr>
      <w:r>
        <w:t xml:space="preserve">§ 3a Einsatz KI-gestützter Hilfsmittel</w:t>
      </w:r>
    </w:p>
    <w:p>
      <w:pPr>
        <w:spacing w:after="140"/>
      </w:pPr>
      <w:r>
        <w:t xml:space="preserve">Die Kanzlei setzt bei der Bearbeitung des Mandats ein KI-gestütztes Programm zur Auswertung der Akte ein. Dazu werden einzelne, von der Bearbeiterin oder dem Bearbeiter ausgewählte Abschnitte der Akte an einen Auftragsverarbeiter in Rechenzentren innerhalb der Europäischen Union übermittelt. Der Auftragsverarbeiter ist zur Verschwiegenheit verpflichtet; eine Nutzung der Inhalte über die Erbringung des Dienstes hinaus, insbesondere zum Training von KI-Modellen, ist vertraglich ausgeschlossen. </w:t>
      </w:r>
      <w:r>
        <w:rPr>
          <w:b/>
          <w:bCs/>
        </w:rPr>
        <w:t xml:space="preserve">Die anwaltliche Prüfung und jede Entscheidung bleiben bei der Kanzlei.</w:t>
      </w:r>
    </w:p>
    <w:p>
      <w:pPr>
        <w:spacing w:after="140"/>
      </w:pPr>
      <w:r>
        <w:rPr>
          <w:b/>
          <w:bCs/>
        </w:rPr>
        <w:t xml:space="preserve">Der Mandant kann jederzeit verlangen, dass die Kanzlei das Programm in seinem Mandat nicht einsetzt.</w:t>
      </w:r>
      <w:r>
        <w:t xml:space="preserve"> Die Bearbeitung erfolgt dann ohne dieses Hilfsmittel; Nachteile entstehen daraus nicht.</w:t>
      </w:r>
    </w:p>
    <w:p>
      <w:pPr>
        <w:spacing w:after="140"/>
      </w:pPr>
      <w:r>
        <w:t xml:space="preserve">Einzelheiten zur Verarbeitung stehen in den Hinweisen zur Datenverarbeitung, Ziffer 3.</w:t>
      </w:r>
    </w:p>
    <w:p>
      <w:pPr>
        <w:pStyle w:val="Heading1"/>
        <w:spacing w:after="150" w:before="380"/>
      </w:pPr>
      <w:r>
        <w:t xml:space="preserve">§ 4 Pflichten des Mandanten</w:t>
      </w:r>
    </w:p>
    <w:p>
      <w:pPr>
        <w:spacing w:after="140"/>
      </w:pPr>
      <w:r>
        <w:t xml:space="preserve">Der Mandant ist verpflichtet, die Kanzlei vollständig, wahrheitsgemäß und rechtzeitig über alle für das Mandat erheblichen Tatsachen zu unterrichten.</w:t>
      </w:r>
    </w:p>
    <w:p>
      <w:pPr>
        <w:spacing w:after="140"/>
      </w:pPr>
      <w:r>
        <w:t xml:space="preserve">Der Mandant stellt der Kanzlei alle zur Bearbeitung erforderlichen Unterlagen, Informationen und Zugangsdaten rechtzeitig zur Verfügung. Er weist die Kanzlei insbesondere auf laufende Fristen, gerichtliche oder behördliche Zustellungen, Termine und eilbedürftige Umstände ausdrücklich hin.</w:t>
      </w:r>
    </w:p>
    <w:p>
      <w:pPr>
        <w:spacing w:after="140"/>
      </w:pPr>
      <w:r>
        <w:t xml:space="preserve">Der Mandant informiert die Kanzlei unverzüglich über Änderungen seiner Kontaktdaten, insbesondere Anschrift, Telefonnummer, E-Mail-Adresse und sonstige Kommunikationswege.</w:t>
      </w:r>
    </w:p>
    <w:p>
      <w:pPr>
        <w:spacing w:after="140"/>
      </w:pPr>
      <w:r>
        <w:t xml:space="preserve">Der Mandant prüft ihm übersandte Schreiben, Schriftsätze, Vertragsentwürfe und sonstige Unterlagen unverzüglich auf Richtigkeit und Vollständigkeit und teilt etwaige Einwendungen oder Ergänzungen rechtzeitig mit.</w:t>
      </w:r>
    </w:p>
    <w:p>
      <w:pPr>
        <w:spacing w:after="140"/>
      </w:pPr>
      <w:r>
        <w:t xml:space="preserve">Soweit gesetzliche Pflichten zur Identifizierung, insbesondere nach dem Geldwäschegesetz, bestehen, ist der Mandant verpflichtet, die hierfür erforderlichen Angaben und Nachweise zur Verfügung zu stellen. </w:t>
      </w:r>
      <w:r>
        <w:rPr>
          <w:b/>
          <w:bCs/>
        </w:rPr>
        <w:t xml:space="preserve">Kommt der Mandant dem nicht nach</w:t>
      </w:r>
      <w:r>
        <w:t xml:space="preserve">, kann die Kanzlei die Mandatsannahme ablehnen oder das Mandat nach Maßgabe der gesetzlichen Vorschriften beenden.</w:t>
      </w:r>
    </w:p>
    <w:p>
      <w:pPr>
        <w:pStyle w:val="Heading1"/>
        <w:spacing w:after="150" w:before="380"/>
      </w:pPr>
      <w:r>
        <w:t xml:space="preserve">§ 5 Kommunikation</w:t>
      </w:r>
    </w:p>
    <w:p>
      <w:pPr>
        <w:spacing w:after="140"/>
      </w:pPr>
      <w:r>
        <w:t xml:space="preserve">Die Kanzlei darf mit dem Mandanten per Post, Telefon, Telefax, E-Mail, besonderem elektronischen Anwaltspostfach, Videokonferenz, Mandantenportal oder auf sonstigem elektronischem Weg kommunizieren, sofern der Mandant diesen Kommunikationsweg angibt, nutzt oder dessen Nutzung nicht widerspricht.</w:t>
      </w:r>
    </w:p>
    <w:p>
      <w:pPr>
        <w:spacing w:after="140"/>
      </w:pPr>
      <w:r>
        <w:t xml:space="preserve">Der Mandant wird darauf hingewiesen, dass elektronische Kommunikation, insbesondere unverschlüsselte E-Mail-Kommunikation, mit Vertraulichkeits- und Sicherheitsrisiken verbunden sein kann: Nachrichten können auf dem Übertragungsweg von Dritten gelesen oder verändert werden. </w:t>
      </w:r>
      <w:r>
        <w:rPr>
          <w:b/>
          <w:bCs/>
        </w:rPr>
        <w:t xml:space="preserve">Für die unverschlüsselte Korrespondenz per E-Mail holt die Kanzlei das gesonderte Einverständnis des Mandanten ein</w:t>
      </w:r>
      <w:r>
        <w:t xml:space="preserve"> (§ 2 Abs. 2 BORA); es kann jederzeit für die Zukunft widerrufen werden. Wünscht der Mandant eine besondere Verschlüsselung oder einen bestimmten Kommunikationsweg, hat er dies der Kanzlei mitzuteilen.</w:t>
      </w:r>
    </w:p>
    <w:p>
      <w:pPr>
        <w:spacing w:after="140"/>
      </w:pPr>
      <w:r>
        <w:t xml:space="preserve">Fristgebundene oder eilbedürftige Mitteilungen des Mandanten gelten erst als zugegangen, wenn sie während der üblichen Geschäftszeiten der Kanzlei tatsächlich zur Kenntnis genommen werden. Der Mandant soll in Eilfällen zusätzlich telefonisch auf die Übermittlung hinweisen.</w:t>
      </w:r>
    </w:p>
    <w:p>
      <w:pPr>
        <w:pStyle w:val="Heading1"/>
        <w:spacing w:after="150" w:before="380"/>
      </w:pPr>
      <w:r>
        <w:t xml:space="preserve">§ 6 Vergütung</w:t>
      </w:r>
    </w:p>
    <w:p>
      <w:pPr>
        <w:spacing w:after="140"/>
      </w:pPr>
      <w:r>
        <w:t xml:space="preserve">Soweit keine gesonderte Vergütungsvereinbarung getroffen wird, richtet sich die Vergütung der Kanzlei nach dem Rechtsanwaltsvergütungsgesetz.</w:t>
      </w:r>
    </w:p>
    <w:p>
      <w:pPr>
        <w:spacing w:after="140"/>
      </w:pPr>
      <w:r>
        <w:t xml:space="preserve">Soweit das Rechtsanwaltsvergütungsgesetz eine wertabhängige Vergütung vorsieht, richtet sich die Vergütung nach dem Gegenstandswert der anwaltlichen Tätigkeit.</w:t>
      </w:r>
    </w:p>
    <w:p>
      <w:pPr>
        <w:spacing w:after="140"/>
      </w:pPr>
      <w:r>
        <w:t xml:space="preserve">Der Mandant wird darauf hingewiesen, dass sich die gesetzliche Vergütung in vielen Angelegenheiten nach dem Gegenstandswert richtet. Die Höhe des Gegenstandswerts kann von wirtschaftlichen Erwartungen des Mandanten abweichen.</w:t>
      </w:r>
    </w:p>
    <w:p>
      <w:pPr>
        <w:spacing w:after="140"/>
      </w:pPr>
      <w:r>
        <w:t xml:space="preserve">Mehrere Mandanten in derselben Angelegenheit haften für die Vergütung als Gesamtschuldner, soweit sie die Kanzlei gemeinschaftlich beauftragen.</w:t>
      </w:r>
    </w:p>
    <w:p>
      <w:pPr>
        <w:spacing w:after="140"/>
      </w:pPr>
      <w:r>
        <w:t xml:space="preserve">Gesetzliche Gebühren, vereinbarte Honorare, Auslagen, Reisekosten, Abwesenheitsgelder, Dokumentenpauschalen, Umsatzsteuer sowie sonstige gesetzlich vorgesehene Kosten sind vom Mandanten zu tragen, soweit sie nicht von Dritten übernommen werden.</w:t>
      </w:r>
    </w:p>
    <w:p>
      <w:pPr>
        <w:spacing w:after="140"/>
      </w:pPr>
      <w:r>
        <w:t xml:space="preserve">Eine etwaige Kostenerstattung durch Gegner, Staatskasse, Rechtsschutzversicherung oder sonstige Dritte lässt die Vergütungspflicht des Mandanten gegenüber der Kanzlei unberührt.</w:t>
      </w:r>
    </w:p>
    <w:p>
      <w:pPr>
        <w:pStyle w:val="Heading1"/>
        <w:spacing w:after="150" w:before="380"/>
      </w:pPr>
      <w:r>
        <w:t xml:space="preserve">§ 7 Vorschuss, Fälligkeit und Zahlung</w:t>
      </w:r>
    </w:p>
    <w:p>
      <w:pPr>
        <w:spacing w:after="140"/>
      </w:pPr>
      <w:r>
        <w:t xml:space="preserve">Die Kanzlei kann nach Maßgabe des Rechtsanwaltsvergütungsgesetzes angemessene Vorschüsse verlangen.</w:t>
      </w:r>
    </w:p>
    <w:p>
      <w:pPr>
        <w:spacing w:after="140"/>
      </w:pPr>
      <w:r>
        <w:t xml:space="preserve">Fällige Vergütungsforderungen sind nach Zugang einer ordnungsgemäßen Rechnung oder Berechnung in Textform sofort ohne Abzug zahlbar, soweit in der Rechnung kein anderes Zahlungsziel angegeben ist.</w:t>
      </w:r>
    </w:p>
    <w:p>
      <w:pPr>
        <w:spacing w:after="140"/>
      </w:pPr>
      <w:r>
        <w:t xml:space="preserve">Gerät der Mandant mit der Zahlung fälliger Vergütung oder eines angeforderten Vorschusses in Verzug, kann die Kanzlei die weitere Tätigkeit nach vorherigem Hinweis verweigern oder das Mandat nach Maßgabe der gesetzlichen und berufsrechtlichen Vorschriften beenden, sofern hierdurch keine unzumutbare Gefährdung der Interessen des Mandanten eintritt.</w:t>
      </w:r>
    </w:p>
    <w:p>
      <w:pPr>
        <w:spacing w:after="140"/>
      </w:pPr>
      <w:r>
        <w:t xml:space="preserve">Eine Aufrechnung gegen Forderungen der Kanzlei ist nur mit unbestrittenen, rechtskräftig festgestellten oder entscheidungsreifen Forderungen zulässig. Gesetzliche Zurückbehaltungsrechte, insbesondere solche aus demselben Vertragsverhältnis, bleiben unberührt.</w:t>
      </w:r>
    </w:p>
    <w:p>
      <w:pPr>
        <w:pStyle w:val="Heading1"/>
        <w:spacing w:after="150" w:before="380"/>
      </w:pPr>
      <w:r>
        <w:t xml:space="preserve">§ 8 Rechtsschutzversicherung, Prozesskostenhilfe und Beratungshilfe</w:t>
      </w:r>
    </w:p>
    <w:p>
      <w:pPr>
        <w:spacing w:after="140"/>
      </w:pPr>
      <w:r>
        <w:t xml:space="preserve">Die Einholung einer Deckungszusage bei einer Rechtsschutzversicherung ist nur geschuldet, wenn dies ausdrücklich vereinbart wird.</w:t>
      </w:r>
    </w:p>
    <w:p>
      <w:pPr>
        <w:spacing w:after="140"/>
      </w:pPr>
      <w:r>
        <w:t xml:space="preserve">Die Korrespondenz mit einer Rechtsschutzversicherung stellt eine gesonderte anwaltliche Tätigkeit dar und kann zusätzliche Gebühren auslösen, soweit diese Tätigkeit nicht vom ursprünglichen Mandat umfasst oder gesetzlich abgegolten ist.</w:t>
      </w:r>
    </w:p>
    <w:p>
      <w:pPr>
        <w:spacing w:after="140"/>
      </w:pPr>
      <w:r>
        <w:t xml:space="preserve">Der Mandant bleibt auch dann Vergütungsschuldner, wenn eine Rechtsschutzversicherung Deckung gewährt, Zahlungen verzögert, kürzt oder verweigert.</w:t>
      </w:r>
    </w:p>
    <w:p>
      <w:pPr>
        <w:spacing w:after="140"/>
      </w:pPr>
      <w:r>
        <w:t xml:space="preserve">Die Beantragung von Prozesskostenhilfe, Verfahrenskostenhilfe oder Beratungshilfe ist nur geschuldet, wenn dies ausdrücklich vereinbart wird.</w:t>
      </w:r>
    </w:p>
    <w:p>
      <w:pPr>
        <w:spacing w:after="140"/>
      </w:pPr>
      <w:r>
        <w:t xml:space="preserve">Wird Prozesskostenhilfe, Verfahrenskostenhilfe oder Beratungshilfe nicht bewilligt, nur teilweise bewilligt oder nachträglich aufgehoben, bleibt der Mandant im gesetzlich zulässigen Umfang zur Zahlung der Vergütung verpflichtet.</w:t>
      </w:r>
    </w:p>
    <w:p>
      <w:pPr>
        <w:pStyle w:val="Heading1"/>
        <w:spacing w:after="150" w:before="380"/>
      </w:pPr>
      <w:r>
        <w:t xml:space="preserve">§ 9 Kostenerstattungsansprüche, Sicherungsabtretung und Fremdgeld</w:t>
      </w:r>
    </w:p>
    <w:p>
      <w:pPr>
        <w:spacing w:after="140"/>
      </w:pPr>
      <w:r>
        <w:t xml:space="preserve">Der Mandant tritt sämtliche Ansprüche auf Kostenerstattung gegen Gegner, Staatskasse, Rechtsschutzversicherung oder sonstige Dritte aus der jeweiligen Mandatsangelegenheit in Höhe der jeweils offenen Vergütungsforderungen der Kanzlei sicherungshalber an die Kanzlei ab, soweit die Abtretung gesetzlich und vertraglich zulässig ist. Die Kanzlei nimmt die Abtretung an.</w:t>
      </w:r>
    </w:p>
    <w:p>
      <w:pPr>
        <w:spacing w:after="140"/>
      </w:pPr>
      <w:r>
        <w:t xml:space="preserve">Die Kanzlei ist berechtigt, die Abtretung gegenüber dem jeweiligen Erstattungsschuldner offenzulegen und den Erstattungsanspruch einzuziehen, wenn der Mandant fällige Vergütungsforderungen trotz Mahnung nicht erfüllt oder eine Gefährdung der Forderung zu besorgen ist. Berufsrechtliche Verschwiegenheitspflichten bleiben unberührt.</w:t>
      </w:r>
    </w:p>
    <w:p>
      <w:pPr>
        <w:spacing w:after="140"/>
      </w:pPr>
      <w:r>
        <w:t xml:space="preserve">Zahlungen, die bei der Kanzlei eingehen und dem Mandanten zustehen, werden unverzüglich an den Berechtigten weitergeleitet, soweit keine gesetzlich oder berufsrechtlich zulässige Verrechnung erfolgt.</w:t>
      </w:r>
    </w:p>
    <w:p>
      <w:pPr>
        <w:spacing w:after="140"/>
      </w:pPr>
      <w:r>
        <w:t xml:space="preserve">Eine Verrechnung mit offenen Vergütungsforderungen erfolgt nur, soweit die eingegangenen Beträge dem Mandanten zustehen, nicht zweckgebunden an Dritte weiterzuleiten sind, eine ordnungsgemäße Rechnung erteilt wurde und die Verrechnung gesetzlich sowie berufsrechtlich zulässig ist.</w:t>
      </w:r>
    </w:p>
    <w:p>
      <w:pPr>
        <w:spacing w:after="140"/>
      </w:pPr>
      <w:r>
        <w:t xml:space="preserve">Fremdgelder und sonstige Vermögenswerte werden nach Maßgabe der berufsrechtlichen Vorschriften behandelt.</w:t>
      </w:r>
    </w:p>
    <w:p>
      <w:pPr>
        <w:pStyle w:val="Heading1"/>
        <w:spacing w:after="150" w:before="380"/>
      </w:pPr>
      <w:r>
        <w:t xml:space="preserve">§ 10 Handakten, Unterlagen und Aufbewahrung</w:t>
      </w:r>
    </w:p>
    <w:p>
      <w:pPr>
        <w:spacing w:after="140"/>
      </w:pPr>
      <w:r>
        <w:t xml:space="preserve">Die Kanzlei führt Handakten nach Maßgabe der gesetzlichen und berufsrechtlichen Vorschriften. Der Mandant erhält auf Anforderung die von ihm überlassenen Originalunterlagen zurück, soweit keine gesetzlichen Zurückbehaltungsrechte bestehen.</w:t>
      </w:r>
    </w:p>
    <w:p>
      <w:pPr>
        <w:spacing w:after="140"/>
      </w:pPr>
      <w:r>
        <w:t xml:space="preserve">Die Kanzlei ist berechtigt, Kopien oder elektronische Abschriften mandatsbezogener Unterlagen aufzubewahren, soweit dies zur Erfüllung gesetzlicher Aufbewahrungspflichten, zur Dokumentation der Mandatsbearbeitung oder zur Wahrung berechtigter Interessen erforderlich ist. </w:t>
      </w:r>
      <w:r>
        <w:rPr>
          <w:b/>
          <w:bCs/>
        </w:rPr>
        <w:t xml:space="preserve">Die Handakte wird elektronisch geführt.</w:t>
      </w:r>
    </w:p>
    <w:p>
      <w:pPr>
        <w:spacing w:after="140"/>
      </w:pPr>
      <w:r>
        <w:t xml:space="preserve">Nach Ablauf gesetzlicher Aufbewahrungsfristen — für die Handakte sechs Jahre nach Ablauf des Kalenderjahres, in dem der Auftrag beendet wurde (§ 50 Abs. 1 BRAO) — ist die Kanzlei berechtigt, Handakten und Unterlagen zu vernichten oder elektronische Daten zu löschen, soweit keine längeren gesetzlichen Pflichten oder berechtigten Interessen entgegenstehen.</w:t>
      </w:r>
    </w:p>
    <w:p>
      <w:pPr>
        <w:pStyle w:val="Heading1"/>
        <w:spacing w:after="150" w:before="380"/>
      </w:pPr>
      <w:r>
        <w:t xml:space="preserve">§ 11 Datenschutz und Verschwiegenheit</w:t>
      </w:r>
    </w:p>
    <w:p>
      <w:pPr>
        <w:spacing w:after="140"/>
      </w:pPr>
      <w:r>
        <w:t xml:space="preserve">Die Kanzlei verarbeitet personenbezogene Daten des Mandanten und sonstiger Beteiligter, soweit dies zur Mandatsanbahnung, Mandatsdurchführung, Abrechnung, Erfüllung gesetzlicher Pflichten oder Wahrung berechtigter Interessen erforderlich ist.</w:t>
      </w:r>
    </w:p>
    <w:p>
      <w:pPr>
        <w:spacing w:after="140"/>
      </w:pPr>
      <w:r>
        <w:t xml:space="preserve">Ergänzend gelten die </w:t>
      </w:r>
      <w:r>
        <w:rPr>
          <w:b/>
          <w:bCs/>
        </w:rPr>
        <w:t xml:space="preserve">Hinweise zur Datenverarbeitung</w:t>
      </w:r>
      <w:r>
        <w:t xml:space="preserve"> der Kanzlei in der jeweils aktuellen Fassung; sie werden dem Mandanten bei Mandatsbeginn ausgehändigt. Für den Einsatz KI-gestützter Hilfsmittel gilt § 3a.</w:t>
      </w:r>
    </w:p>
    <w:p>
      <w:pPr>
        <w:spacing w:after="140"/>
      </w:pPr>
      <w:r>
        <w:t xml:space="preserve">Die Kanzlei ist zur anwaltlichen Verschwiegenheit verpflichtet. Die Verschwiegenheitspflicht gilt auch nach Beendigung des Mandats.</w:t>
      </w:r>
    </w:p>
    <w:p>
      <w:pPr>
        <w:spacing w:after="140"/>
      </w:pPr>
      <w:r>
        <w:t xml:space="preserve">Soweit gesetzliche oder berufsrechtliche Vorschriften eine Offenlegung erlauben oder verlangen, bleibt die Kanzlei hierzu berechtigt oder verpflichtet.</w:t>
      </w:r>
    </w:p>
    <w:p>
      <w:pPr>
        <w:pStyle w:val="Heading1"/>
        <w:spacing w:after="150" w:before="380"/>
      </w:pPr>
      <w:r>
        <w:t xml:space="preserve">§ 12 Haftung und Haftungsbeschränkung</w:t>
      </w:r>
    </w:p>
    <w:p>
      <w:pPr>
        <w:spacing w:after="140"/>
      </w:pPr>
      <w:r>
        <w:t xml:space="preserve">Die Kanzlei ist eine Partnerschaftsgesellschaft mit beschränkter Berufshaftung. Für Verbindlichkeiten der Partnerschaft aus Schäden wegen fehlerhafter Berufsausübung haftet nach Maßgabe des § 8 Abs. 4 PartGG ausschließlich das Gesellschaftsvermögen, soweit die gesetzlichen Voraussetzungen erfüllt sind.</w:t>
      </w:r>
    </w:p>
    <w:p>
      <w:pPr>
        <w:spacing w:after="140"/>
      </w:pPr>
      <w:r>
        <w:t xml:space="preserve">Die Haftung der Kanzlei aus dem Mandatsverhältnis für durch einfache Fahrlässigkeit verursachte Schäden wird gemäß § 52 Abs. 1 Satz 1 Nr. 2 BRAO auf den vierfachen Betrag der jeweils einschlägigen Mindestversicherungssumme beschränkt, sofern insoweit Versicherungsschutz besteht.</w:t>
      </w:r>
    </w:p>
    <w:p>
      <w:pPr>
        <w:spacing w:after="140"/>
      </w:pPr>
      <w:r>
        <w:t xml:space="preserve">Sofern und solange in der Kanzlei nicht mehr als zehn Personen anwaltlich oder in einem Beruf nach § 59c Abs. 1 Satz 1 BRAO tätig sind, beträgt die Haftungshöchstsumme nach Absatz 2 derzeit EUR 4.000.000,00.</w:t>
      </w:r>
    </w:p>
    <w:p>
      <w:pPr>
        <w:spacing w:after="140"/>
      </w:pPr>
      <w:r>
        <w:t xml:space="preserve">Die Haftungsbeschränkung gilt nicht für vorsätzlich oder grob fahrlässig verursachte Schäden. Die Haftungsbeschränkung gilt ferner nicht für Schäden aus der Verletzung des Lebens, des Körpers oder der Gesundheit. Zwingende gesetzliche Haftungsvorschriften bleiben unberührt.</w:t>
      </w:r>
    </w:p>
    <w:p>
      <w:pPr>
        <w:pStyle w:val="Heading1"/>
        <w:spacing w:after="150" w:before="380"/>
      </w:pPr>
      <w:r>
        <w:t xml:space="preserve">§ 13 Mandatsbeendigung</w:t>
      </w:r>
    </w:p>
    <w:p>
      <w:pPr>
        <w:spacing w:after="140"/>
      </w:pPr>
      <w:r>
        <w:t xml:space="preserve">Das Mandat kann von beiden Seiten nach Maßgabe der gesetzlichen Vorschriften beendet werden.</w:t>
      </w:r>
    </w:p>
    <w:p>
      <w:pPr>
        <w:spacing w:after="140"/>
      </w:pPr>
      <w:r>
        <w:t xml:space="preserve">Die Kanzlei kann das Mandat insbesondere beenden, wenn der Mandant trotz Aufforderung erforderliche Mitwirkungshandlungen nicht vornimmt, fällige Vergütungsforderungen oder Vorschüsse nicht zahlt, ein Interessenkonflikt entsteht oder das Vertrauensverhältnis nachhaltig gestört ist.</w:t>
      </w:r>
    </w:p>
    <w:p>
      <w:pPr>
        <w:spacing w:after="140"/>
      </w:pPr>
      <w:r>
        <w:t xml:space="preserve">Im Fall der Mandatsbeendigung bleibt der Anspruch der Kanzlei auf Vergütung der bis zur Beendigung erbrachten Leistungen unberührt.</w:t>
      </w:r>
    </w:p>
    <w:p>
      <w:pPr>
        <w:spacing w:after="140"/>
      </w:pPr>
      <w:r>
        <w:t xml:space="preserve">Die Kanzlei wird bei Mandatsbeendigung auf laufende Fristen hinweisen, soweit ihr diese bekannt sind und soweit dies berufsrechtlich geboten ist.</w:t>
      </w:r>
    </w:p>
    <w:p>
      <w:pPr>
        <w:pStyle w:val="Heading1"/>
        <w:spacing w:after="150" w:before="380"/>
      </w:pPr>
      <w:r>
        <w:t xml:space="preserve">§ 14 Verbraucherstreitbeilegung</w:t>
      </w:r>
    </w:p>
    <w:p>
      <w:pPr>
        <w:spacing w:after="140"/>
      </w:pPr>
      <w:r>
        <w:t xml:space="preserve">Für vermögensrechtliche Streitigkeiten aus einem anwaltlichen Mandatsverhältnis besteht die Möglichkeit der Schlichtung bei der Schlichtungsstelle der Rechtsanwaltschaft, Rauchstraße 26, 10787 Berlin.</w:t>
      </w:r>
    </w:p>
    <w:p>
      <w:pPr>
        <w:spacing w:after="140"/>
      </w:pPr>
      <w:r>
        <w:t xml:space="preserve">Die Kanzlei ist zur Teilnahme an einem Streitbeilegungsverfahren vor einer Verbraucherschlichtungsstelle nicht verpflichtet und erklärt, hierzu grundsätzlich nicht bereit zu sein. Die Kanzlei kann im Einzelfall einer Schlichtung zustimmen.</w:t>
      </w:r>
    </w:p>
    <w:p>
      <w:pPr>
        <w:spacing w:after="140"/>
      </w:pPr>
      <w:r>
        <w:t xml:space="preserve">Informationspflichten nach dem Verbraucherstreitbeilegungsgesetz bleiben unberührt.</w:t>
      </w:r>
    </w:p>
    <w:p>
      <w:pPr>
        <w:pStyle w:val="Heading1"/>
        <w:spacing w:after="150" w:before="380"/>
      </w:pPr>
      <w:r>
        <w:t xml:space="preserve">§ 15 Schlussbestimmungen</w:t>
      </w:r>
    </w:p>
    <w:p>
      <w:pPr>
        <w:spacing w:after="140"/>
      </w:pPr>
      <w:r>
        <w:t xml:space="preserve">Es gilt deutsches Recht unter Ausschluss des internationalen Privatrechts, soweit dem keine zwingenden gesetzlichen Vorschriften entgegenstehen.</w:t>
      </w:r>
    </w:p>
    <w:p>
      <w:pPr>
        <w:spacing w:after="140"/>
      </w:pPr>
      <w:r>
        <w:t xml:space="preserve">Ist der Mandant Kaufmann, juristische Person des öffentlichen Rechts oder öffentlich-rechtliches Sondervermögen, ist Gerichtsstand für alle Streitigkeiten aus dem Mandatsverhältnis der Sitz der Kanzlei, soweit gesetzlich zulässig.</w:t>
      </w:r>
    </w:p>
    <w:p>
      <w:pPr>
        <w:spacing w:after="140"/>
      </w:pPr>
      <w:r>
        <w:t xml:space="preserve">Sollten einzelne Bestimmungen dieser Allgemeinen Mandatsbedingungen ganz oder teilweise unwirksam sein oder werden, bleibt die Wirksamkeit der übrigen Bestimmungen unberührt. Im Übrigen gelten die gesetzlichen Vorschriften.</w:t>
      </w:r>
    </w:p>
    <w:p>
      <w:pPr>
        <w:pBdr>
          <w:bottom w:val="single" w:color="999999" w:sz="6" w:space="8"/>
        </w:pBdr>
        <w:spacing w:after="200" w:before="200"/>
      </w:pPr>
    </w:p>
    <w:p>
      <w:pPr>
        <w:spacing w:after="140"/>
      </w:pPr>
      <w:r>
        <w:t xml:space="preserve">Hamburg, den ..........................</w:t>
      </w:r>
    </w:p>
    <w:p>
      <w:pPr>
        <w:spacing w:after="140"/>
      </w:pPr>
      <w:r>
        <w:t xml:space="preserve">............................................................</w:t>
      </w:r>
      <w:r>
        <w:br/>
        <w:t xml:space="preserve"/>
      </w:r>
      <w:r>
        <w:t xml:space="preserve">Unterschrift des Mandanten</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40"/>
      </w:pPr>
    </w:lvl>
  </w:abstractNum>
  <w:abstractNum w:abstractNumId="3" w15:restartNumberingAfterBreak="0">
    <w:multiLevelType w:val="hybridMultilevel"/>
    <w:lvl w:ilvl="0" w15:tentative="1">
      <w:start w:val="1"/>
      <w:numFmt w:val="bullet"/>
      <w:lvlText w:val="•"/>
      <w:lvlJc w:val="start"/>
      <w:pPr>
        <w:ind w:left="700"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nklin Gothic Book" w:cs="Franklin Gothic Book" w:eastAsia="Franklin Gothic Book" w:hAnsi="Franklin Gothic Book"/>
        <w:sz w:val="22"/>
        <w:szCs w:val="22"/>
      </w:rPr>
    </w:rPrDefault>
    <w:pPrDefault>
      <w:pPr>
        <w:spacing w:after="140" w:line="276"/>
      </w:pPr>
    </w:pPrDefault>
  </w:docDefaults>
  <w:style w:type="paragraph" w:styleId="Title">
    <w:name w:val="Title"/>
    <w:basedOn w:val="Normal"/>
    <w:next w:val="Normal"/>
    <w:qFormat/>
    <w:pPr>
      <w:spacing w:after="200"/>
    </w:pPr>
    <w:rPr>
      <w:rFonts w:ascii="Franklin Gothic Book" w:cs="Franklin Gothic Book" w:eastAsia="Franklin Gothic Book" w:hAnsi="Franklin Gothic Book"/>
      <w:b/>
      <w:bCs/>
      <w:color w:val="000000"/>
      <w:sz w:val="36"/>
      <w:szCs w:val="36"/>
    </w:rPr>
  </w:style>
  <w:style w:type="paragraph" w:styleId="Heading1">
    <w:name w:val="Heading 1"/>
    <w:basedOn w:val="Normal"/>
    <w:next w:val="Normal"/>
    <w:qFormat/>
    <w:rPr>
      <w:rFonts w:ascii="Franklin Gothic Book" w:cs="Franklin Gothic Book" w:eastAsia="Franklin Gothic Book" w:hAnsi="Franklin Gothic Book"/>
      <w:b/>
      <w:bCs/>
      <w:color w:val="000000"/>
      <w:sz w:val="26"/>
      <w:szCs w:val="26"/>
    </w:rPr>
  </w:style>
  <w:style w:type="paragraph" w:styleId="Heading2">
    <w:name w:val="Heading 2"/>
    <w:basedOn w:val="Normal"/>
    <w:next w:val="Normal"/>
    <w:qFormat/>
    <w:rPr>
      <w:rFonts w:ascii="Franklin Gothic Book" w:cs="Franklin Gothic Book" w:eastAsia="Franklin Gothic Book" w:hAnsi="Franklin Gothic Book"/>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MANDATSBEDINGUNGEN</dc:title>
  <dc:creator>Dortschy, Thunert und Partner mbB</dc:creator>
  <cp:lastModifiedBy>Un-named</cp:lastModifiedBy>
  <cp:revision>1</cp:revision>
  <dcterms:created xsi:type="dcterms:W3CDTF">2026-10-15T14:25:22.784Z</dcterms:created>
  <dcterms:modified xsi:type="dcterms:W3CDTF">2026-10-15T14:25:22.785Z</dcterms:modified>
</cp:coreProperties>
</file>

<file path=docProps/custom.xml><?xml version="1.0" encoding="utf-8"?>
<Properties xmlns="http://schemas.openxmlformats.org/officeDocument/2006/custom-properties" xmlns:vt="http://schemas.openxmlformats.org/officeDocument/2006/docPropsVTypes"/>
</file>