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Hinweise zur Datenverarbeitung — Empfangsbestätigung</w:t>
      </w:r>
    </w:p>
    <w:p>
      <w:pPr>
        <w:spacing w:after="140"/>
      </w:pPr>
      <w:r>
        <w:rPr>
          <w:b/>
          <w:bCs/>
        </w:rPr>
        <w:t xml:space="preserve">Dortschy, Thunert und Partner mbB</w:t>
      </w:r>
      <w:r>
        <w:t xml:space="preserve"> · Stand: 15. Oktober 2026</w:t>
      </w:r>
    </w:p>
    <w:p>
      <w:pPr>
        <w:pBdr>
          <w:left w:val="single" w:color="888888" w:sz="12" w:space="12"/>
        </w:pBdr>
        <w:spacing w:after="200" w:before="180"/>
        <w:ind w:left="340"/>
      </w:pPr>
      <w:r>
        <w:rPr>
          <w:b/>
          <w:bCs/>
        </w:rPr>
        <w:t xml:space="preserve">Entwurf zur Übernahme, keine Rechtsberatung.</w:t>
      </w:r>
    </w:p>
    <w:p>
      <w:pPr>
        <w:pBdr>
          <w:bottom w:val="single" w:color="999999" w:sz="6" w:space="8"/>
        </w:pBdr>
        <w:spacing w:after="200" w:before="200"/>
      </w:pPr>
    </w:p>
    <w:p>
      <w:pPr>
        <w:spacing w:after="140"/>
      </w:pPr>
      <w:r>
        <w:rPr>
          <w:b/>
          <w:bCs/>
        </w:rPr>
        <w:t xml:space="preserve">Mandant / Mandantin</w:t>
      </w:r>
      <w:r>
        <w:t xml:space="preserve"> ............................................................</w:t>
      </w:r>
    </w:p>
    <w:p>
      <w:pPr>
        <w:spacing w:after="140"/>
      </w:pPr>
      <w:r>
        <w:rPr>
          <w:b/>
          <w:bCs/>
        </w:rPr>
        <w:t xml:space="preserve">Aktenzeichen</w:t>
      </w:r>
      <w:r>
        <w:t xml:space="preserve"> ............................................................</w:t>
      </w:r>
    </w:p>
    <w:p>
      <w:pPr>
        <w:pBdr>
          <w:bottom w:val="single" w:color="999999" w:sz="6" w:space="8"/>
        </w:pBdr>
        <w:spacing w:after="200" w:before="200"/>
      </w:pPr>
    </w:p>
    <w:p>
      <w:pPr>
        <w:pStyle w:val="Heading1"/>
        <w:spacing w:after="150" w:before="380"/>
      </w:pPr>
      <w:r>
        <w:t xml:space="preserve">1. Empfang der Hinweise zur Datenverarbeitung</w:t>
      </w:r>
    </w:p>
    <w:p>
      <w:pPr>
        <w:spacing w:after="140"/>
      </w:pPr>
      <w:r>
        <w:t xml:space="preserve">Hiermit bestätige ich, die </w:t>
      </w:r>
      <w:r>
        <w:rPr>
          <w:b/>
          <w:bCs/>
        </w:rPr>
        <w:t xml:space="preserve">„Hinweise zur Datenverarbeitung" in der Fassung vom 15. Oktober 2026</w:t>
      </w:r>
      <w:r>
        <w:t xml:space="preserve"> erhalten zu haben.</w:t>
      </w:r>
    </w:p>
    <w:p>
      <w:pPr>
        <w:spacing w:after="140"/>
      </w:pPr>
      <w:r>
        <w:t xml:space="preserve">Hamburg, den ..........................</w:t>
      </w:r>
    </w:p>
    <w:p>
      <w:pPr>
        <w:spacing w:after="140"/>
      </w:pPr>
      <w:r>
        <w:t xml:space="preserve">Unterschrift ............................................................</w:t>
      </w:r>
    </w:p>
    <w:p>
      <w:pPr>
        <w:spacing w:after="140"/>
      </w:pPr>
      <w:r>
        <w:t xml:space="preserve">Name in Druckbuchstaben ............................................................</w:t>
      </w:r>
    </w:p>
    <w:p>
      <w:pPr>
        <w:pBdr>
          <w:left w:val="single" w:color="888888" w:sz="12" w:space="12"/>
        </w:pBdr>
        <w:spacing w:after="200" w:before="180"/>
        <w:ind w:left="340"/>
      </w:pPr>
      <w:r>
        <w:rPr>
          <w:b/>
          <w:bCs/>
        </w:rPr>
        <w:t xml:space="preserve">Warum das Datum der Fassung dabeisteht.</w:t>
      </w:r>
      <w:r>
        <w:t xml:space="preserve"> Eine Empfangsbestätigung ohne sie beweist, dass </w:t>
      </w:r>
      <w:r>
        <w:rPr>
          <w:i/>
          <w:iCs/>
        </w:rPr>
        <w:t xml:space="preserve">irgendetwas</w:t>
      </w:r>
      <w:r>
        <w:t xml:space="preserve"> übergeben wurde. Ändern sich die Hinweise — und sie haben sich gerade geändert —, lässt sich später nicht mehr sagen, welcher Stand gemeint war. Art. 13 verlangt die Unterrichtung über eine bestimmte Verarbeitung, und beweisen muss sie die Kanzlei.</w:t>
      </w:r>
    </w:p>
    <w:p>
      <w:pPr>
        <w:pBdr>
          <w:bottom w:val="single" w:color="999999" w:sz="6" w:space="8"/>
        </w:pBdr>
        <w:spacing w:after="200" w:before="200"/>
      </w:pPr>
    </w:p>
    <w:p>
      <w:pPr>
        <w:pStyle w:val="Heading1"/>
        <w:spacing w:after="150" w:before="380"/>
      </w:pPr>
      <w:r>
        <w:t xml:space="preserve">2. Einverständnis mit unverschlüsselter E-Mail-Korrespondenz</w:t>
      </w:r>
    </w:p>
    <w:p>
      <w:pPr>
        <w:spacing w:after="140"/>
      </w:pPr>
      <w:r>
        <w:t xml:space="preserve">Ich bin damit einverstanden, dass die anwaltliche Korrespondenz über die folgende E-Mail-Adresse </w:t>
      </w:r>
      <w:r>
        <w:rPr>
          <w:b/>
          <w:bCs/>
        </w:rPr>
        <w:t xml:space="preserve">unverschlüsselt</w:t>
      </w:r>
      <w:r>
        <w:t xml:space="preserve"> erfolgen darf:</w:t>
      </w:r>
    </w:p>
    <w:p>
      <w:pPr>
        <w:spacing w:after="140"/>
      </w:pPr>
      <w:r>
        <w:t xml:space="preserve">............................................................</w:t>
      </w:r>
    </w:p>
    <w:p>
      <w:pPr>
        <w:spacing w:after="140"/>
      </w:pPr>
      <w:r>
        <w:rPr>
          <w:b/>
          <w:bCs/>
        </w:rPr>
        <w:t xml:space="preserve">Mir ist bekannt,</w:t>
      </w:r>
      <w:r>
        <w:t xml:space="preserve"> dass unverschlüsselte E-Mail auf dem Übertragungsweg von Dritten gelesen oder verändert werden kann und dass die Kanzlei insoweit keine Vertraulichkeit gewährleisten kann. Ich kann dieses Einverständnis jederzeit und ohne Angabe von Gründen für die Zukunft widerrufen; die Kanzlei korrespondiert dann auf einem anderen Weg.</w:t>
      </w:r>
    </w:p>
    <w:p>
      <w:pPr>
        <w:spacing w:after="140"/>
      </w:pPr>
      <w:r>
        <w:t xml:space="preserve">Hamburg, den ..........................</w:t>
      </w:r>
    </w:p>
    <w:p>
      <w:pPr>
        <w:spacing w:after="140"/>
      </w:pPr>
      <w:r>
        <w:t xml:space="preserve">Unterschrift ............................................................</w:t>
      </w:r>
    </w:p>
    <w:p>
      <w:pPr>
        <w:pBdr>
          <w:left w:val="single" w:color="888888" w:sz="12" w:space="12"/>
        </w:pBdr>
        <w:spacing w:after="200" w:before="180"/>
        <w:ind w:left="340"/>
      </w:pPr>
      <w:r>
        <w:rPr>
          <w:b/>
          <w:bCs/>
        </w:rPr>
        <w:t xml:space="preserve">Für die Kanzlei: Das ist kein Punkt, an dem etwas fehlt — sondern einer, an dem bisher zu wenig stand.</w:t>
      </w:r>
      <w:r>
        <w:t xml:space="preserve"> Die bisherige Fassung ließ einwilligen, ohne zu sagen, worin. Ein Einverständnis, das das Risiko nicht benennt, ist als Aufklärung wertlos, und § 2 Abs. 2 BORA setzt gerade die Kenntnis des Mandanten voraus. Die beiden hinzugefügten Sätze sind deshalb kein Beiwerk, sondern das, was das Einverständnis trägt.</w:t>
      </w:r>
    </w:p>
    <w:p>
      <w:pPr>
        <w:pBdr>
          <w:bottom w:val="single" w:color="999999" w:sz="6" w:space="8"/>
        </w:pBdr>
        <w:spacing w:after="200" w:before="200"/>
      </w:pPr>
    </w:p>
    <w:p>
      <w:pPr>
        <w:pStyle w:val="Heading1"/>
        <w:spacing w:after="150" w:before="380"/>
      </w:pPr>
      <w:r>
        <w:t xml:space="preserve">3. Einsatz KI-gestützter Hilfsmittel — hier wird nichts unterschrieben</w:t>
      </w:r>
    </w:p>
    <w:p>
      <w:pPr>
        <w:pBdr>
          <w:left w:val="single" w:color="888888" w:sz="12" w:space="12"/>
        </w:pBdr>
        <w:spacing w:after="60" w:before="180"/>
        <w:ind w:left="340"/>
      </w:pPr>
      <w:r>
        <w:rPr>
          <w:b/>
          <w:bCs/>
        </w:rPr>
        <w:t xml:space="preserve">Für die Kanzlei, nicht für den Mandanten.</w:t>
      </w:r>
    </w:p>
    <w:p>
      <w:pPr>
        <w:pBdr>
          <w:left w:val="single" w:color="888888" w:sz="12" w:space="12"/>
        </w:pBdr>
        <w:spacing w:after="60" w:before="60"/>
        <w:ind w:left="340"/>
      </w:pPr>
      <w:r>
        <w:t xml:space="preserve">Auf diesem Blatt steht dazu </w:t>
      </w:r>
      <w:r>
        <w:rPr>
          <w:b/>
          <w:bCs/>
        </w:rPr>
        <w:t xml:space="preserve">mit Absicht keine Unterschriftenzeile.</w:t>
      </w:r>
      <w:r>
        <w:t xml:space="preserve"> Der Einsatz des Programms ist in den </w:t>
      </w:r>
      <w:r>
        <w:rPr>
          <w:b/>
          <w:bCs/>
        </w:rPr>
        <w:t xml:space="preserve">Allgemeinen Mandatsbedingungen (§ 3a)</w:t>
      </w:r>
      <w:r>
        <w:t xml:space="preserve"> beschrieben und damit Teil dessen, was nach Art. 6 Abs. 1 lit. b DSGVO zu erfüllen ist — er trägt die Rechtsgrundlage, statt sie durch eine zweite zu ersetzen.</w:t>
      </w:r>
    </w:p>
    <w:p>
      <w:pPr>
        <w:pBdr>
          <w:left w:val="single" w:color="888888" w:sz="12" w:space="12"/>
        </w:pBdr>
        <w:spacing w:after="60" w:before="60"/>
        <w:ind w:left="340"/>
      </w:pPr>
      <w:r>
        <w:rPr>
          <w:b/>
          <w:bCs/>
        </w:rPr>
        <w:t xml:space="preserve">Eine zusätzliche Einwilligung wäre ein Rückschritt.</w:t>
      </w:r>
      <w:r>
        <w:t xml:space="preserve"> Sie wäre jederzeit widerruflich (Art. 7 Abs. 3), sie wäre zweifelhaft freiwillig, wenn das Mandat faktisch nur mit ihr zu bekommen ist (Art. 7 Abs. 4, ErwG 43), und für Gegner, Zeugen und Dritte könnte sie ohnehin nichts tragen. Die ausführliche Begründung steht in </w:t>
      </w:r>
      <w:r>
        <w:rPr>
          <w:rFonts w:ascii="Consolas" w:cs="Consolas" w:eastAsia="Consolas" w:hAnsi="Consolas"/>
        </w:rPr>
        <w:t xml:space="preserve">DATENSCHUTZHINWEISE-ENTWURF.md</w:t>
      </w:r>
      <w:r>
        <w:t xml:space="preserve">, Teil B. </w:t>
      </w:r>
      <w:r>
        <w:rPr>
          <w:rFonts w:ascii="Consolas" w:cs="Consolas" w:eastAsia="Consolas" w:hAnsi="Consolas"/>
        </w:rPr>
        <w:t xml:space="preserve">[KANZLEI 1]</w:t>
      </w:r>
    </w:p>
    <w:p>
      <w:pPr>
        <w:pBdr>
          <w:left w:val="single" w:color="888888" w:sz="12" w:space="12"/>
        </w:pBdr>
        <w:spacing w:after="200" w:before="60"/>
        <w:ind w:left="340"/>
      </w:pPr>
      <w:r>
        <w:t xml:space="preserve">Was die Mandantschaft stattdessen bekommt, steht in den Hinweisen unter Ziffer 3 und in § 3a der Mandatsbedingungen: </w:t>
      </w:r>
      <w:r>
        <w:rPr>
          <w:b/>
          <w:bCs/>
        </w:rPr>
        <w:t xml:space="preserve">Offenheit über den Einsatz und die Möglichkeit, ihn abzulehnen</w:t>
      </w:r>
      <w:r>
        <w:t xml:space="preserve"> — ohne dass die Rechtsgrundlage daran hängt.</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40"/>
      </w:pPr>
    </w:lvl>
  </w:abstractNum>
  <w:abstractNum w:abstractNumId="3"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2"/>
        <w:szCs w:val="22"/>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36"/>
      <w:szCs w:val="36"/>
    </w:rPr>
  </w:style>
  <w:style w:type="paragraph" w:styleId="Heading1">
    <w:name w:val="Heading 1"/>
    <w:basedOn w:val="Normal"/>
    <w:next w:val="Normal"/>
    <w:qFormat/>
    <w:rPr>
      <w:rFonts w:ascii="Franklin Gothic Book" w:cs="Franklin Gothic Book" w:eastAsia="Franklin Gothic Book" w:hAnsi="Franklin Gothic Book"/>
      <w:b/>
      <w:bCs/>
      <w:color w:val="000000"/>
      <w:sz w:val="26"/>
      <w:szCs w:val="26"/>
    </w:rPr>
  </w:style>
  <w:style w:type="paragraph" w:styleId="Heading2">
    <w:name w:val="Heading 2"/>
    <w:basedOn w:val="Normal"/>
    <w:next w:val="Normal"/>
    <w:qFormat/>
    <w:rPr>
      <w:rFonts w:ascii="Franklin Gothic Book" w:cs="Franklin Gothic Book" w:eastAsia="Franklin Gothic Book" w:hAnsi="Franklin Gothic Book"/>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EMPFANGSBESTAETIGUNG</dc:title>
  <dc:creator>Dortschy, Thunert und Partner mbB</dc:creator>
  <cp:lastModifiedBy>Un-named</cp:lastModifiedBy>
  <cp:revision>1</cp:revision>
  <dcterms:created xsi:type="dcterms:W3CDTF">2026-10-15T14:25:20.751Z</dcterms:created>
  <dcterms:modified xsi:type="dcterms:W3CDTF">2026-10-15T14:25:20.752Z</dcterms:modified>
</cp:coreProperties>
</file>

<file path=docProps/custom.xml><?xml version="1.0" encoding="utf-8"?>
<Properties xmlns="http://schemas.openxmlformats.org/officeDocument/2006/custom-properties" xmlns:vt="http://schemas.openxmlformats.org/officeDocument/2006/docPropsVTypes"/>
</file>