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Was an den Mandatsunterlagen geändert wurde — und warum</w:t>
      </w:r>
    </w:p>
    <w:p>
      <w:pPr>
        <w:spacing w:after="140"/>
      </w:pPr>
      <w:r>
        <w:rPr>
          <w:b/>
          <w:bCs/>
        </w:rPr>
        <w:t xml:space="preserve">Dortschy, Thunert und Partner mbB</w:t>
      </w:r>
      <w:r>
        <w:t xml:space="preserve"> · 15. Oktober 2026</w:t>
      </w:r>
    </w:p>
    <w:p>
      <w:pPr>
        <w:pBdr>
          <w:left w:val="single" w:color="888888" w:sz="12" w:space="12"/>
        </w:pBdr>
        <w:spacing w:after="200" w:before="180"/>
        <w:ind w:left="340"/>
      </w:pPr>
      <w:r>
        <w:rPr>
          <w:b/>
          <w:bCs/>
        </w:rPr>
        <w:t xml:space="preserve">Für die Kanzlei, nicht für die Mandantschaft.</w:t>
      </w:r>
      <w:r>
        <w:t xml:space="preserve"> Dieses Blatt gehört in die Datenschutzakte, nicht in die Mandatsakte. Es ist keine Rechtsberatung.</w:t>
      </w:r>
    </w:p>
    <w:p>
      <w:pPr>
        <w:spacing w:after="140"/>
      </w:pPr>
      <w:r>
        <w:t xml:space="preserve">Überarbeitet wurden drei Unterlagen: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Bisher</w:t>
            </w:r>
          </w:p>
        </w:tc>
        <w:tc>
          <w:tcPr>
            <w:tcW w:type="dxa" w:w="6954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Neu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„Hinweise zur Datenverarbeitung" (2 Seiten, ohne Datum)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HINWEISE-DATENVERARBEITUNG.md</w:t>
            </w:r>
            <w:r>
              <w:t xml:space="preserve">, Stand 15.10.2026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„Hinweise zur Datenverarbeitung" (Empfangsblatt, 1 Seite)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EMPFANGSBESTAETIGUNG.md</w:t>
            </w:r>
            <w:r>
              <w:t xml:space="preserve">, Stand 15.10.2026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„Allgemeine Mandatsbedingungen", Stand 01.05.2026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MANDATSBEDINGUNGEN.md</w:t>
            </w:r>
            <w:r>
              <w:t xml:space="preserve">, Stand 15.10.2026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A · Der Anlass</w:t>
      </w:r>
    </w:p>
    <w:p>
      <w:pPr>
        <w:spacing w:after="140"/>
      </w:pPr>
      <w:r>
        <w:t xml:space="preserve">Der Einsatz von jusperfect bringt einen Auftragsverarbeiter in die Mandatsbearbeitung, der Akteninhalte im Klartext verarbeitet. Das ist nach Art. 13 DSGVO mitzuteilen und gehört in die Mandatsbedingungen.</w:t>
      </w:r>
    </w:p>
    <w:p>
      <w:pPr>
        <w:spacing w:after="140"/>
      </w:pPr>
      <w:r>
        <w:rPr>
          <w:b/>
          <w:bCs/>
        </w:rPr>
        <w:t xml:space="preserve">Das war nur der Anlass, nicht der ganze Befund.</w:t>
      </w:r>
      <w:r>
        <w:t xml:space="preserve"> Beim Durchsehen sind Lücken aufgefallen, die mit jusperfect nichts zu tun haben und seit Längerem bestehen. Sie stehen unten unter C.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B · Was wegen jusperfect hinzugekommen ist</w:t>
      </w:r>
    </w:p>
    <w:p>
      <w:pPr>
        <w:pStyle w:val="Heading2"/>
        <w:spacing w:after="120" w:before="280"/>
      </w:pPr>
      <w:r>
        <w:t xml:space="preserve">1. Hinweise, Ziffer 3 — ganz neu</w:t>
      </w:r>
    </w:p>
    <w:p>
      <w:pPr>
        <w:spacing w:after="140"/>
      </w:pPr>
      <w:r>
        <w:t xml:space="preserve">Der Abschnitt </w:t>
      </w:r>
      <w:r>
        <w:rPr>
          <w:b/>
          <w:bCs/>
        </w:rPr>
        <w:t xml:space="preserve">„Einsatz eines KI-gestützten Programms bei der Aktenbearbeitung"</w:t>
      </w:r>
      <w:r>
        <w:t xml:space="preserve">. Er nennt Zweck, Umfang, Rechtsgrundlage, Empfänger, Drittlandbezug, Aufbewahrung, die Arbeitskopie, das Fehlen automatisierter Entscheidungen und das Recht, den Einsatz abzulehnen.</w:t>
      </w:r>
    </w:p>
    <w:p>
      <w:pPr>
        <w:spacing w:after="140"/>
      </w:pPr>
      <w:r>
        <w:t xml:space="preserve">Drei Sätze darin tragen und sind belegt: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„nicht zum Training"</w:t>
      </w:r>
      <w:r>
        <w:t xml:space="preserve"> — AWS-Kundenvereinbarung Ziffer 1.4 und 6.1 (Fassung 01.06.2026), bestätigt durch Service Terms 50.12 (Stand 15.09.2026).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„in Rechenzentren in der Europäischen Union"</w:t>
      </w:r>
      <w:r>
        <w:t xml:space="preserve"> — EU-Inferenzprofil, Frankfurt am Main.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„beim Auftragsverarbeiter nicht aufbewahrt"</w:t>
      </w:r>
      <w:r>
        <w:t xml:space="preserve"> — folgt </w:t>
      </w:r>
      <w:r>
        <w:rPr>
          <w:b/>
          <w:bCs/>
        </w:rPr>
        <w:t xml:space="preserve">nicht</w:t>
      </w:r>
      <w:r>
        <w:t xml:space="preserve"> aus dem Vertrag, sondern aus dem eingesetzten Modell. Service Terms 50.12.2 erlaubt eine Aufbewahrung von bis zu 30 Tagen für namentlich gelistete Modelle; das eingesetzte steht nicht darauf.</w:t>
      </w:r>
    </w:p>
    <w:p>
      <w:pPr>
        <w:pBdr>
          <w:left w:val="single" w:color="888888" w:sz="12" w:space="12"/>
        </w:pBdr>
        <w:spacing w:after="200" w:before="180"/>
        <w:ind w:left="340"/>
      </w:pPr>
      <w:r>
        <w:rPr>
          <w:b/>
          <w:bCs/>
        </w:rPr>
        <w:t xml:space="preserve">Daraus eine Abhängigkeit, die festzuhalten ist:</w:t>
      </w:r>
      <w:r>
        <w:t xml:space="preserve"> Dieser dritte Satz wird unrichtig, sobald ein gelistetes Modell eingesetzt wird. Davor schützt </w:t>
      </w:r>
      <w:r>
        <w:rPr>
          <w:b/>
          <w:bCs/>
        </w:rPr>
        <w:t xml:space="preserve">Regel 1 der Einweisung</w:t>
      </w:r>
      <w:r>
        <w:t xml:space="preserve">. Wer das Modell wechselt, ändert damit auch eine Unterlage, die Mandanten ausgehändigt wird.</w:t>
      </w:r>
    </w:p>
    <w:p>
      <w:pPr>
        <w:pStyle w:val="Heading2"/>
        <w:spacing w:after="120" w:before="280"/>
      </w:pPr>
      <w:r>
        <w:t xml:space="preserve">2. Mandatsbedingungen, § 3a — ganz neu</w:t>
      </w:r>
    </w:p>
    <w:p>
      <w:pPr>
        <w:spacing w:after="140"/>
      </w:pPr>
      <w:r>
        <w:rPr>
          <w:b/>
          <w:bCs/>
        </w:rPr>
        <w:t xml:space="preserve">„Einsatz KI-gestützter Hilfsmittel".</w:t>
      </w:r>
      <w:r>
        <w:t xml:space="preserve"> Der Absatz </w:t>
      </w:r>
      <w:r>
        <w:rPr>
          <w:b/>
          <w:bCs/>
        </w:rPr>
        <w:t xml:space="preserve">beschreibt, wie das Mandat bearbeitet wird</w:t>
      </w:r>
      <w:r>
        <w:t xml:space="preserve">. Er ist damit Teil dessen, was nach </w:t>
      </w:r>
      <w:r>
        <w:rPr>
          <w:b/>
          <w:bCs/>
        </w:rPr>
        <w:t xml:space="preserve">Art. 6 Abs. 1 lit. b DSGVO</w:t>
      </w:r>
      <w:r>
        <w:t xml:space="preserve"> zu erfüllen ist — er trägt die Rechtsgrundlage, statt sie durch eine zweite zu ersetzen.</w:t>
      </w:r>
    </w:p>
    <w:p>
      <w:pPr>
        <w:spacing w:after="140"/>
      </w:pPr>
      <w:r>
        <w:rPr>
          <w:b/>
          <w:bCs/>
        </w:rPr>
        <w:t xml:space="preserve">Das Verlangen, das Programm nicht einzusetzen, ist bewusst kein Widerruf nach Art. 7 Abs. 3.</w:t>
      </w:r>
      <w:r>
        <w:t xml:space="preserve"> Der Unterschied ist nicht sprachlich: Ein Widerruf ließe die Rechtsgrundlage entfallen. Hier bleibt sie bestehen, und die Kanzlei schuldet nur, auf das Hilfsmittel zu verzichten.</w:t>
      </w:r>
    </w:p>
    <w:p>
      <w:pPr>
        <w:spacing w:after="140"/>
      </w:pPr>
      <w:r>
        <w:rPr>
          <w:b/>
          <w:bCs/>
        </w:rPr>
        <w:t xml:space="preserve">Ein zweiter Grund, der nicht aus der DSGVO stammt.</w:t>
      </w:r>
      <w:r>
        <w:t xml:space="preserve"> Die Nutzungsrichtlinie des Modellanbieters, die über Service Terms 50.12.1 gilt, führt anwaltliches Arbeiten als </w:t>
      </w:r>
      <w:r>
        <w:rPr>
          <w:b/>
          <w:bCs/>
        </w:rPr>
        <w:t xml:space="preserve">Hochrisikobereich</w:t>
      </w:r>
      <w:r>
        <w:t xml:space="preserve"> und verlangt, dass dem Beratenen klar gesagt wird, dass KI eingesetzt wurde. Der erste Satz des § 3a tut das — im Dokument, das der Mandant unterschreibt.</w:t>
      </w:r>
    </w:p>
    <w:p>
      <w:pPr>
        <w:pStyle w:val="Heading2"/>
        <w:spacing w:after="120" w:before="280"/>
      </w:pPr>
      <w:r>
        <w:t xml:space="preserve">3. Mandatsbedingungen, § 3 Abs. 3 — umgeschrieben</w:t>
      </w:r>
    </w:p>
    <w:p>
      <w:pPr>
        <w:spacing w:after="140"/>
      </w:pPr>
      <w:r>
        <w:t xml:space="preserve">Bisher: </w:t>
      </w:r>
      <w:r>
        <w:rPr>
          <w:i/>
          <w:iCs/>
        </w:rPr>
        <w:t xml:space="preserve">„Externe Dienstleister oder Dritte werden nur eingebunden, soweit dies berufsrechtlich zulässig ist oder der Mandant eingewilligt hat."</w:t>
      </w:r>
    </w:p>
    <w:p>
      <w:pPr>
        <w:spacing w:after="140"/>
      </w:pPr>
      <w:r>
        <w:rPr>
          <w:b/>
          <w:bCs/>
        </w:rPr>
        <w:t xml:space="preserve">Dieser Satz war zu eng und zugleich zu unbestimmt.</w:t>
      </w:r>
      <w:r>
        <w:t xml:space="preserve"> Zu eng, weil er die Einschaltung von Auftragsverarbeitern unter eine Einwilligung zu stellen scheint, die es nicht braucht; zu unbestimmt, weil er nicht sagt, wovon die Rede ist. Jetzt trennt der Absatz </w:t>
      </w:r>
      <w:r>
        <w:rPr>
          <w:b/>
          <w:bCs/>
        </w:rPr>
        <w:t xml:space="preserve">Auftragsverarbeiter</w:t>
      </w:r>
      <w:r>
        <w:t xml:space="preserve"> (Art. 28 DSGVO, weisungsgebunden, § 43e Abs. 3 BRAO) von </w:t>
      </w:r>
      <w:r>
        <w:rPr>
          <w:b/>
          <w:bCs/>
        </w:rPr>
        <w:t xml:space="preserve">Dritten</w:t>
      </w:r>
      <w:r>
        <w:t xml:space="preserve"> — und der alte Satz gilt unverändert für die Dritten.</w:t>
      </w:r>
    </w:p>
    <w:p>
      <w:pPr>
        <w:pStyle w:val="Heading2"/>
        <w:spacing w:after="120" w:before="280"/>
      </w:pPr>
      <w:r>
        <w:t xml:space="preserve">4. Empfangsbestätigung, Ziffer 3 — ein Hinweis ohne Unterschriftenzeile</w:t>
      </w:r>
    </w:p>
    <w:p>
      <w:pPr>
        <w:spacing w:after="140"/>
      </w:pPr>
      <w:r>
        <w:t xml:space="preserve">Dort steht ausdrücklich, dass für den Einsatz des Programms </w:t>
      </w:r>
      <w:r>
        <w:rPr>
          <w:b/>
          <w:bCs/>
        </w:rPr>
        <w:t xml:space="preserve">nichts unterschrieben wird</w:t>
      </w:r>
      <w:r>
        <w:t xml:space="preserve">, und warum: Eine zusätzliche Einwilligung wäre jederzeit widerruflich, zweifelhaft freiwillig und für Gegner, Zeugen und Dritte ohnehin ohne Wirkung. </w:t>
      </w:r>
      <w:r>
        <w:rPr>
          <w:rFonts w:ascii="Consolas" w:cs="Consolas" w:eastAsia="Consolas" w:hAnsi="Consolas"/>
        </w:rPr>
        <w:t xml:space="preserve">[KANZLEI 1]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C · Was unabhängig von jusperfect gefehlt hat</w:t>
      </w:r>
    </w:p>
    <w:p>
      <w:pPr>
        <w:spacing w:after="140"/>
      </w:pPr>
      <w:r>
        <w:t xml:space="preserve">Diese Punkte stehen hier, weil sie beim Durchsehen aufgefallen sind. Sie sind die eigentliche Ausbeute dieser Überarbeitung.</w:t>
      </w:r>
    </w:p>
    <w:p>
      <w:pPr>
        <w:pStyle w:val="Heading2"/>
        <w:spacing w:after="120" w:before="280"/>
      </w:pPr>
      <w:r>
        <w:t xml:space="preserve">In den Hinweisen zur Datenverarbeitung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954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Befund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Kein Datum, keine Fassung.</w:t>
            </w:r>
            <w:r>
              <w:t xml:space="preserve"> Eine Unterlage nach Art. 13, die sich ändert, ohne das zu sagen, lässt sich im Streitfall nicht zuordnen. Jetzt mit Stand; und die Empfangsbestätigung nennt ihn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„(aus HGB, StGB oder AO)" — das StGB kennt keine Aufbewahrungspflichten.</w:t>
            </w:r>
            <w:r>
              <w:t xml:space="preserve"> Offenbar ein Verschreiber. Berichtigt zu </w:t>
            </w:r>
            <w:r>
              <w:rPr>
                <w:b/>
                <w:bCs/>
              </w:rPr>
              <w:t xml:space="preserve">HGB, AO oder GwG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Art. 9 Abs. 2 fehlte ganz.</w:t>
            </w:r>
            <w:r>
              <w:t xml:space="preserve"> In einer Unfall-, Arbeits- oder Familiensache werden regelmäßig Gesundheitsdaten verarbeitet. Dafür genügt Art. 6 nicht — es braucht einen Erlaubnistatbestand nach Art. 9. Ergänzt: </w:t>
            </w:r>
            <w:r>
              <w:rPr>
                <w:b/>
                <w:bCs/>
              </w:rPr>
              <w:t xml:space="preserve">Art. 9 Abs. 2 lit. f</w:t>
            </w:r>
            <w:r>
              <w:t xml:space="preserve"> (Rechtsansprüche)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Die Empfänger-Kategorien fehlten</w:t>
            </w:r>
            <w:r>
              <w:t xml:space="preserve"> (Art. 13 Abs. 1 lit. e). Genannt waren nur Gegner, Gerichte und Behörden — also Dritte. Die </w:t>
            </w:r>
            <w:r>
              <w:rPr>
                <w:b/>
                <w:bCs/>
              </w:rPr>
              <w:t xml:space="preserve">Auftragsverarbeiter</w:t>
            </w:r>
            <w:r>
              <w:t xml:space="preserve"> fehlten vollständig, und zwar schon vor jusperfect: Kanzleisoftware, E-Akte, IT-Betreuung, Datensicherung, Aktenvernichtung. Neu: Ziffer 4 mit </w:t>
            </w:r>
            <w:r>
              <w:rPr>
                <w:rFonts w:ascii="Consolas" w:cs="Consolas" w:eastAsia="Consolas" w:hAnsi="Consolas"/>
              </w:rPr>
              <w:t xml:space="preserve">[KANZLEI 5]</w:t>
            </w:r>
            <w:r>
              <w:t xml:space="preserve"> zum Ergänzen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Art. 22 fehlte</w:t>
            </w:r>
            <w:r>
              <w:t xml:space="preserve"> (Art. 13 Abs. 2 lit. f). Das war schon vorher eine Lücke; mit einem KI-gestützten Hilfsmittel wäre sie die auffälligste von allen. Neu: „Keine automatisierte Entscheidung"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Die Pflicht zur Bereitstellung fehlte</w:t>
            </w:r>
            <w:r>
              <w:t xml:space="preserve"> (Art. 13 Abs. 2 lit. e). Neu: Ziffer 6, mit dem Hinweis auf das Geldwäschegesetz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Art. 14 fehlte ganz</w:t>
            </w:r>
            <w:r>
              <w:t xml:space="preserve"> — die Daten von Gegnern, Zeugen und Dritten. Neu: Ziffer 5, mit der Befreiung nach </w:t>
            </w:r>
            <w:r>
              <w:rPr>
                <w:b/>
                <w:bCs/>
              </w:rPr>
              <w:t xml:space="preserve">Art. 14 Abs. 5 lit. d DSGVO</w:t>
            </w:r>
            <w:r>
              <w:t xml:space="preserve"> und § 29 Abs. 1 BDSG wegen des Berufsgeheimnisses. Das ist im Mandat der Regelfall, aber es gehört geschrieben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Die zuständige Aufsichtsbehörde war nicht benannt.</w:t>
            </w:r>
            <w:r>
              <w:t xml:space="preserve"> Ergänzt: der Hamburgische Beauftragte für Datenschutz und Informationsfreiheit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Die Speicherdauer nannte keine Fundstelle.</w:t>
            </w:r>
            <w:r>
              <w:t xml:space="preserve"> Ergänzt: § 50 Abs. 1 BRAO. Die Frist selbst war richtig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In der Empfangsbestätigung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954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Befund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Die Einwilligung in unverschlüsselte E-Mail nannte das Risiko nicht.</w:t>
            </w:r>
            <w:r>
              <w:t xml:space="preserve"> Sie lautete: „Hiermit willige ich ein, dass die anwaltliche Korrespondenz über die E-Mail-Adresse … unverschlüsselt erfolgen darf." </w:t>
            </w:r>
            <w:r>
              <w:rPr>
                <w:b/>
                <w:bCs/>
              </w:rPr>
              <w:t xml:space="preserve">Mehr stand nicht da.</w:t>
            </w:r>
            <w:r>
              <w:t xml:space="preserve"> Ein Einverständnis, das nicht sagt, worin eingewilligt wird, ist als Aufklärung wertlos — und § 2 Abs. 2 BORA setzt gerade die Kenntnis des Mandanten voraus. Ergänzt: das Risiko in einem Satz, und das Recht, jederzeit zu widerrufen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Keine Zuordnung.</w:t>
            </w:r>
            <w:r>
              <w:t xml:space="preserve"> Kein Aktenzeichen, kein Name in Druckbuchstaben, keine Fassung der Hinweise. Eine Bestätigung, die nicht sagt, </w:t>
            </w:r>
            <w:r>
              <w:rPr>
                <w:i/>
                <w:iCs/>
              </w:rPr>
              <w:t xml:space="preserve">was</w:t>
            </w:r>
            <w:r>
              <w:t xml:space="preserve"> bestätigt wurde, beweist wenig. Ergänzt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In den Allgemeinen Mandatsbedingungen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6954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Befund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§ 3 Abs. 2: „schaltet … Terminsvertreter auf"</w:t>
            </w:r>
            <w:r>
              <w:t xml:space="preserve"> — Verschreiber. Berichtigt: „ein"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§ 4 letzter Absatz: „Kommt der Mandant hierbei nicht mit"</w:t>
            </w:r>
            <w:r>
              <w:t xml:space="preserve"> — Verschreiber. Berichtigt: „Kommt der Mandant dem nicht nach"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§ 11 verwies auf „die Datenschutzerklärung der Kanzlei".</w:t>
            </w:r>
            <w:r>
              <w:t xml:space="preserve"> Die Unterlage heißt „Hinweise zur Datenverarbeitung". Ein Verweis auf ein Schriftstück, das es unter diesem Namen nicht gibt, geht ins Leere. Berichtigt, und ergänzt, dass sie bei Mandatsbeginn ausgehändigt wird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§ 5 Abs. 2 sagte nicht, dass ein gesondertes Einverständnis eingeholt wird.</w:t>
            </w:r>
            <w:r>
              <w:t xml:space="preserve"> Die Kanzlei holt es ein — nur stand es nicht in den Bedingungen. Ergänzt, mit § 2 Abs. 2 BORA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69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§ 10 nannte die Aufbewahrungsfrist nicht.</w:t>
            </w:r>
            <w:r>
              <w:t xml:space="preserve"> Ergänzt: § 50 Abs. 1 BRAO. Außerdem festgehalten, dass die Handakte elektronisch geführt wird — das trägt die Beschreibung in den Hinweisen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Nicht geändert, obwohl geprüft:</w:t>
      </w:r>
      <w:r>
        <w:t xml:space="preserve"> Die Haftungshöchstsumme in § 12 von EUR 4.000.000,00 ist der vierfache Betrag der Mindestversicherungssumme einer PartG mbB mit bis zu zehn Berufsträgern (§ 59o Abs. 2 BRAO) und damit nach § 52 Abs. 1 Satz 1 Nr. 2 BRAO zulässig. Die Zahl stimmt.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D · Was die Kanzlei noch entscheiden muss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Stelle</w:t>
            </w:r>
          </w:p>
        </w:tc>
        <w:tc>
          <w:tcPr>
            <w:tcW w:type="dxa" w:w="3118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Wo</w:t>
            </w:r>
          </w:p>
        </w:tc>
        <w:tc>
          <w:tcPr>
            <w:tcW w:type="dxa" w:w="3118"/>
            <w:shd w:fill="EE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Was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[KANZLEI 1]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Empfangsbestätigung Ziffer 3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Bleibt es bei der Vereinbarung in § 3a statt einer Einwilligung? </w:t>
            </w:r>
            <w:r>
              <w:rPr>
                <w:i/>
                <w:iCs/>
              </w:rPr>
              <w:t xml:space="preserve">Empfehlung: ja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[KANZLEI 2]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Hinweise Ziffer 3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„Übermittlung in Drittländer findet nicht statt" — erst aufnehmen, wenn die Auskunft von AWS zu den Regionen des Schutzfilters vorliegt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[KANZLEI 3]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Hinweise Ziffer 3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Die Löschfrist für die Arbeitskopie einsetzen. </w:t>
            </w:r>
            <w:r>
              <w:rPr>
                <w:i/>
                <w:iCs/>
              </w:rPr>
              <w:t xml:space="preserve">Vorschlag: Abschluss der Akte plus 30 Tage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[KANZLEI 4]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Hinweise Ziffer 3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Der Kasten „Was wir Ihnen dazu ausdrücklich sagen" — behalten oder streichen</w:t>
            </w:r>
          </w:p>
        </w:tc>
      </w:tr>
      <w:tr>
        <w:trPr>
          <w:cantSplit/>
        </w:trPr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[KANZLEI 5]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Hinweise Ziffer 4</w:t>
            </w:r>
          </w:p>
        </w:tc>
        <w:tc>
          <w:tcPr>
            <w:tcW w:type="dxa" w:w="3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Die Liste der Auftragsverarbeiter-Kategorien vervollständigen</w:t>
            </w:r>
          </w:p>
        </w:tc>
      </w:tr>
    </w:tbl>
    <w:p>
      <w:pPr>
        <w:spacing w:after="160"/>
      </w:pPr>
    </w:p>
    <w:p>
      <w:pPr>
        <w:pBdr>
          <w:left w:val="single" w:color="888888" w:sz="12" w:space="12"/>
        </w:pBdr>
        <w:spacing w:after="200" w:before="180"/>
        <w:ind w:left="340"/>
      </w:pPr>
      <w:r>
        <w:rPr>
          <w:b/>
          <w:bCs/>
        </w:rPr>
        <w:t xml:space="preserve">Die Nummern gelten nur für dieses Blatt.</w:t>
      </w:r>
      <w:r>
        <w:t xml:space="preserve"> Die Folgenabschätzung zählt eigene </w:t>
      </w:r>
      <w:r>
        <w:rPr>
          <w:rFonts w:ascii="Consolas" w:cs="Consolas" w:eastAsia="Consolas" w:hAnsi="Consolas"/>
        </w:rPr>
        <w:t xml:space="preserve">[KANZLEI]</w:t>
      </w:r>
      <w:r>
        <w:t xml:space="preserve">-Stellen; eine fremde Nummer in eigener Schreibweise verschöbe dort die Zählung.</w:t>
      </w:r>
    </w:p>
    <w:p>
      <w:pPr>
        <w:pBdr>
          <w:bottom w:val="single" w:color="999999" w:sz="6" w:space="8"/>
        </w:pBdr>
        <w:spacing w:after="200" w:before="200"/>
      </w:pPr>
    </w:p>
    <w:p>
      <w:pPr>
        <w:pStyle w:val="Heading1"/>
        <w:spacing w:after="150" w:before="380"/>
      </w:pPr>
      <w:r>
        <w:t xml:space="preserve">E · Dreierlei, das zusammengehört</w:t>
      </w:r>
    </w:p>
    <w:p>
      <w:pPr>
        <w:spacing w:after="140"/>
      </w:pPr>
      <w:r>
        <w:t xml:space="preserve">Die drei Unterlagen hängen aneinander, und zwar so: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Die </w:t>
      </w:r>
      <w:r>
        <w:rPr>
          <w:b/>
          <w:bCs/>
        </w:rPr>
        <w:t xml:space="preserve">Mandatsbedingungen</w:t>
      </w:r>
      <w:r>
        <w:t xml:space="preserve"> (§ 3a) </w:t>
      </w:r>
      <w:r>
        <w:rPr>
          <w:b/>
          <w:bCs/>
        </w:rPr>
        <w:t xml:space="preserve">vereinbaren</w:t>
      </w:r>
      <w:r>
        <w:t xml:space="preserve"> den Einsatz.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Die </w:t>
      </w:r>
      <w:r>
        <w:rPr>
          <w:b/>
          <w:bCs/>
        </w:rPr>
        <w:t xml:space="preserve">Hinweise</w:t>
      </w:r>
      <w:r>
        <w:t xml:space="preserve"> (Ziffer 3) </w:t>
      </w:r>
      <w:r>
        <w:rPr>
          <w:b/>
          <w:bCs/>
        </w:rPr>
        <w:t xml:space="preserve">unterrichten</w:t>
      </w:r>
      <w:r>
        <w:t xml:space="preserve"> nach Art. 13 über die Einzelheiten.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Die </w:t>
      </w:r>
      <w:r>
        <w:rPr>
          <w:b/>
          <w:bCs/>
        </w:rPr>
        <w:t xml:space="preserve">Empfangsbestätigung</w:t>
      </w:r>
      <w:r>
        <w:t xml:space="preserve"> </w:t>
      </w:r>
      <w:r>
        <w:rPr>
          <w:b/>
          <w:bCs/>
        </w:rPr>
        <w:t xml:space="preserve">beweist</w:t>
      </w:r>
      <w:r>
        <w:t xml:space="preserve">, dass die Hinweise in einer bestimmten Fassung übergeben wurden.</w:t>
      </w:r>
    </w:p>
    <w:p>
      <w:pPr>
        <w:spacing w:after="140"/>
      </w:pPr>
      <w:r>
        <w:t xml:space="preserve">Fällt eines weg, tragen die anderen beiden nicht mehr. Wird eines geändert, sind die anderen beiden zu prüfen.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nklin Gothic Book" w:cs="Franklin Gothic Book" w:eastAsia="Franklin Gothic Book" w:hAnsi="Franklin Gothic Book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pPr>
      <w:spacing w:after="200"/>
    </w:pPr>
    <w:rPr>
      <w:rFonts w:ascii="Franklin Gothic Book" w:cs="Franklin Gothic Book" w:eastAsia="Franklin Gothic Book" w:hAnsi="Franklin Gothic Book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Franklin Gothic Book" w:cs="Franklin Gothic Book" w:eastAsia="Franklin Gothic Book" w:hAnsi="Franklin Gothic Book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Franklin Gothic Book" w:cs="Franklin Gothic Book" w:eastAsia="Franklin Gothic Book" w:hAnsi="Franklin Gothic Book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AENDERUNGEN-MANDATSUNTERLAGEN-15.10.2026</dc:title>
  <dc:creator>Dortschy, Thunert und Partner mbB</dc:creator>
  <cp:lastModifiedBy>Un-named</cp:lastModifiedBy>
  <cp:revision>1</cp:revision>
  <dcterms:created xsi:type="dcterms:W3CDTF">2026-10-15T09:23:57.742Z</dcterms:created>
  <dcterms:modified xsi:type="dcterms:W3CDTF">2026-10-15T09:23:57.742Z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