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Hinweise zur Datenverarbeitung</w:t>
      </w:r>
    </w:p>
    <w:p>
      <w:pPr>
        <w:spacing w:after="140"/>
      </w:pPr>
      <w:r>
        <w:rPr>
          <w:b/>
          <w:bCs/>
        </w:rPr>
        <w:t xml:space="preserve">Dortschy, Thunert und Partner mbB</w:t>
      </w:r>
      <w:r>
        <w:t xml:space="preserve"> · Stand: 15. Oktober 2026</w:t>
      </w:r>
    </w:p>
    <w:p>
      <w:pPr>
        <w:pBdr>
          <w:left w:val="single" w:color="888888" w:sz="12" w:space="12"/>
        </w:pBdr>
        <w:spacing w:after="200" w:before="180"/>
        <w:ind w:left="340"/>
      </w:pPr>
      <w:r>
        <w:rPr>
          <w:b/>
          <w:bCs/>
        </w:rPr>
        <w:t xml:space="preserve">Entwurf zur Übernahme, keine Rechtsberatung.</w:t>
      </w:r>
      <w:r>
        <w:t xml:space="preserve"> Überarbeitete Fassung der bisherigen „Hinweise zur Datenverarbeitung". Was geändert wurde und warum, steht in </w:t>
      </w:r>
      <w:r>
        <w:rPr>
          <w:rFonts w:ascii="Consolas" w:cs="Consolas" w:eastAsia="Consolas" w:hAnsi="Consolas"/>
        </w:rPr>
        <w:t xml:space="preserve">AENDERUNGEN-MANDATSUNTERLAGEN-15.10.2026.md</w:t>
      </w:r>
      <w:r>
        <w:t xml:space="preserve">. Stellen, die die Kanzlei entscheiden muss, sind mit </w:t>
      </w:r>
      <w:r>
        <w:rPr>
          <w:rFonts w:ascii="Consolas" w:cs="Consolas" w:eastAsia="Consolas" w:hAnsi="Consolas"/>
        </w:rPr>
        <w:t xml:space="preserve">[KANZLEI n]</w:t>
      </w:r>
      <w:r>
        <w:t xml:space="preserve"> bezeichnet.</w:t>
      </w:r>
    </w:p>
    <w:p>
      <w:pPr>
        <w:pBdr>
          <w:bottom w:val="single" w:color="999999" w:sz="6" w:space="8"/>
        </w:pBdr>
        <w:spacing w:after="200" w:before="200"/>
      </w:pPr>
    </w:p>
    <w:p>
      <w:pPr>
        <w:pStyle w:val="Heading1"/>
        <w:spacing w:after="150" w:before="380"/>
      </w:pPr>
      <w:r>
        <w:t xml:space="preserve">1. Name und Kontaktdaten des für die Verarbeitung Verantwortlichen</w:t>
      </w:r>
    </w:p>
    <w:p>
      <w:pPr>
        <w:spacing w:after="140"/>
      </w:pPr>
      <w:r>
        <w:t xml:space="preserve">Diese Datenschutzhinweise gelten für die Datenverarbeitung durch:</w:t>
      </w:r>
    </w:p>
    <w:p>
      <w:pPr>
        <w:spacing w:after="140"/>
      </w:pPr>
      <w:r>
        <w:rPr>
          <w:b/>
          <w:bCs/>
        </w:rPr>
        <w:t xml:space="preserve">Dortschy, Thunert und Partner mbB</w:t>
      </w:r>
      <w:r>
        <w:br/>
        <w:t xml:space="preserve"/>
      </w:r>
      <w:r>
        <w:t xml:space="preserve">Stolper Straße 4, 22145 Hamburg, Deutschland</w:t>
      </w:r>
      <w:r>
        <w:br/>
        <w:t xml:space="preserve"/>
      </w:r>
      <w:r>
        <w:t xml:space="preserve">E-Mail: info@dortschy-thunert.de</w:t>
      </w:r>
      <w:r>
        <w:br/>
        <w:t xml:space="preserve"/>
      </w:r>
      <w:r>
        <w:t xml:space="preserve">Telefon: +49 (0)40 63 64 80 12 · Fax: +49 (0)40 63 64 74 45</w:t>
      </w:r>
    </w:p>
    <w:p>
      <w:pPr>
        <w:spacing w:after="140"/>
      </w:pPr>
      <w:r>
        <w:t xml:space="preserve">Ein Datenschutzbeauftragter ist nicht benannt, da keine gesetzliche Benennungspflicht besteht.</w:t>
      </w:r>
    </w:p>
    <w:p>
      <w:pPr>
        <w:pStyle w:val="Heading1"/>
        <w:spacing w:after="150" w:before="380"/>
      </w:pPr>
      <w:r>
        <w:t xml:space="preserve">2. Erhebung und Speicherung personenbezogener Daten sowie Art, Zweck und Verwendung</w:t>
      </w:r>
    </w:p>
    <w:p>
      <w:pPr>
        <w:spacing w:after="140"/>
      </w:pPr>
      <w:r>
        <w:t xml:space="preserve">Wenn Sie uns mandatieren, erheben wir folgende Informationen:</w:t>
      </w:r>
    </w:p>
    <w:p>
      <w:pPr>
        <w:pStyle w:val="ListParagraph"/>
        <w:numPr>
          <w:ilvl w:val="0"/>
          <w:numId w:val="2"/>
        </w:numPr>
        <w:spacing w:after="100"/>
      </w:pPr>
      <w:r>
        <w:t xml:space="preserve">Anrede, Vorname, Nachname,</w:t>
      </w:r>
    </w:p>
    <w:p>
      <w:pPr>
        <w:pStyle w:val="ListParagraph"/>
        <w:numPr>
          <w:ilvl w:val="0"/>
          <w:numId w:val="2"/>
        </w:numPr>
        <w:spacing w:after="100"/>
      </w:pPr>
      <w:r>
        <w:t xml:space="preserve">eine gültige E-Mail-Adresse,</w:t>
      </w:r>
    </w:p>
    <w:p>
      <w:pPr>
        <w:pStyle w:val="ListParagraph"/>
        <w:numPr>
          <w:ilvl w:val="0"/>
          <w:numId w:val="2"/>
        </w:numPr>
        <w:spacing w:after="100"/>
      </w:pPr>
      <w:r>
        <w:t xml:space="preserve">Anschrift,</w:t>
      </w:r>
    </w:p>
    <w:p>
      <w:pPr>
        <w:pStyle w:val="ListParagraph"/>
        <w:numPr>
          <w:ilvl w:val="0"/>
          <w:numId w:val="2"/>
        </w:numPr>
        <w:spacing w:after="100"/>
      </w:pPr>
      <w:r>
        <w:t xml:space="preserve">Telefonnummer (Festnetz und/oder Mobilfunk),</w:t>
      </w:r>
    </w:p>
    <w:p>
      <w:pPr>
        <w:pStyle w:val="ListParagraph"/>
        <w:numPr>
          <w:ilvl w:val="0"/>
          <w:numId w:val="2"/>
        </w:numPr>
        <w:spacing w:after="100"/>
      </w:pPr>
      <w:r>
        <w:t xml:space="preserve">Informationen, die für die Geltendmachung und Verteidigung Ihrer Rechte im Rahmen des Mandats notwendig sind,</w:t>
      </w:r>
    </w:p>
    <w:p>
      <w:pPr>
        <w:pStyle w:val="ListParagraph"/>
        <w:numPr>
          <w:ilvl w:val="0"/>
          <w:numId w:val="2"/>
        </w:numPr>
        <w:spacing w:after="100"/>
      </w:pPr>
      <w:r>
        <w:t xml:space="preserve">Bankverbindung.</w:t>
      </w:r>
    </w:p>
    <w:p>
      <w:pPr>
        <w:spacing w:after="140"/>
      </w:pPr>
      <w:r>
        <w:t xml:space="preserve">Die Erhebung dieser Daten erfolgt,</w:t>
      </w:r>
    </w:p>
    <w:p>
      <w:pPr>
        <w:pStyle w:val="ListParagraph"/>
        <w:numPr>
          <w:ilvl w:val="0"/>
          <w:numId w:val="2"/>
        </w:numPr>
        <w:spacing w:after="100"/>
      </w:pPr>
      <w:r>
        <w:t xml:space="preserve">um Sie als unseren Mandanten identifizieren zu können;</w:t>
      </w:r>
    </w:p>
    <w:p>
      <w:pPr>
        <w:pStyle w:val="ListParagraph"/>
        <w:numPr>
          <w:ilvl w:val="0"/>
          <w:numId w:val="2"/>
        </w:numPr>
        <w:spacing w:after="100"/>
      </w:pPr>
      <w:r>
        <w:t xml:space="preserve">um Sie angemessen anwaltlich beraten und vertreten zu können;</w:t>
      </w:r>
    </w:p>
    <w:p>
      <w:pPr>
        <w:pStyle w:val="ListParagraph"/>
        <w:numPr>
          <w:ilvl w:val="0"/>
          <w:numId w:val="2"/>
        </w:numPr>
        <w:spacing w:after="100"/>
      </w:pPr>
      <w:r>
        <w:t xml:space="preserve">zur Korrespondenz mit Ihnen;</w:t>
      </w:r>
    </w:p>
    <w:p>
      <w:pPr>
        <w:pStyle w:val="ListParagraph"/>
        <w:numPr>
          <w:ilvl w:val="0"/>
          <w:numId w:val="2"/>
        </w:numPr>
        <w:spacing w:after="100"/>
      </w:pPr>
      <w:r>
        <w:t xml:space="preserve">zur Rechnungsstellung;</w:t>
      </w:r>
    </w:p>
    <w:p>
      <w:pPr>
        <w:pStyle w:val="ListParagraph"/>
        <w:numPr>
          <w:ilvl w:val="0"/>
          <w:numId w:val="2"/>
        </w:numPr>
        <w:spacing w:after="100"/>
      </w:pPr>
      <w:r>
        <w:t xml:space="preserve">zur Abwicklung von etwaigen Haftungsansprüchen sowie zur Geltendmachung etwaiger Ansprüche gegen Sie.</w:t>
      </w:r>
    </w:p>
    <w:p>
      <w:pPr>
        <w:spacing w:after="140"/>
      </w:pPr>
      <w:r>
        <w:t xml:space="preserve">Die Datenverarbeitung erfolgt auf Ihre Anfrage hin und ist nach </w:t>
      </w:r>
      <w:r>
        <w:rPr>
          <w:b/>
          <w:bCs/>
        </w:rPr>
        <w:t xml:space="preserve">Art. 6 Abs. 1 S. 1 lit. b DSGVO</w:t>
      </w:r>
      <w:r>
        <w:t xml:space="preserve"> zu den genannten Zwecken für die angemessene Bearbeitung des Mandats und für die beidseitige Erfüllung von Verpflichtungen aus dem Mandatsvertrag erforderlich.</w:t>
      </w:r>
    </w:p>
    <w:p>
      <w:pPr>
        <w:spacing w:after="140"/>
      </w:pPr>
      <w:r>
        <w:t xml:space="preserve">Soweit im Rahmen des Mandats </w:t>
      </w:r>
      <w:r>
        <w:rPr>
          <w:b/>
          <w:bCs/>
        </w:rPr>
        <w:t xml:space="preserve">besondere Kategorien personenbezogener Daten</w:t>
      </w:r>
      <w:r>
        <w:t xml:space="preserve"> verarbeitet werden — etwa Gesundheitsdaten in einer Unfall- oder Arzthaftungssache —, beruht dies auf </w:t>
      </w:r>
      <w:r>
        <w:rPr>
          <w:b/>
          <w:bCs/>
        </w:rPr>
        <w:t xml:space="preserve">Art. 9 Abs. 2 lit. f DSGVO</w:t>
      </w:r>
      <w:r>
        <w:t xml:space="preserve">: Die Verarbeitung ist zur Geltendmachung, Ausübung oder Verteidigung von Rechtsansprüchen erforderlich.</w:t>
      </w:r>
    </w:p>
    <w:p>
      <w:pPr>
        <w:spacing w:after="140"/>
      </w:pPr>
      <w:r>
        <w:rPr>
          <w:b/>
          <w:bCs/>
        </w:rPr>
        <w:t xml:space="preserve">Speicherdauer.</w:t>
      </w:r>
      <w:r>
        <w:t xml:space="preserve"> Die für die Mandatierung erhobenen personenbezogenen Daten werden für die Dauer der berufsrechtlichen Aufbewahrungspflicht gespeichert (§ 50 Abs. 1 BRAO: sechs Jahre, beginnend mit dem Ablauf des Kalenderjahres, in dem der Auftrag beendet wurde) und danach gelöscht. Etwas anderes gilt, soweit wir nach </w:t>
      </w:r>
      <w:r>
        <w:rPr>
          <w:b/>
          <w:bCs/>
        </w:rPr>
        <w:t xml:space="preserve">Art. 6 Abs. 1 S. 1 lit. c DSGVO</w:t>
      </w:r>
      <w:r>
        <w:t xml:space="preserve"> aufgrund steuer- und handelsrechtlicher Aufbewahrungs- und Dokumentationspflichten (aus HGB, AO oder GwG) zu einer längeren Speicherung verpflichtet sind oder Sie nach </w:t>
      </w:r>
      <w:r>
        <w:rPr>
          <w:b/>
          <w:bCs/>
        </w:rPr>
        <w:t xml:space="preserve">Art. 6 Abs. 1 S. 1 lit. a DSGVO</w:t>
      </w:r>
      <w:r>
        <w:t xml:space="preserve"> in eine darüber hinausgehende Speicherung eingewilligt haben.</w:t>
      </w:r>
    </w:p>
    <w:p>
      <w:pPr>
        <w:pStyle w:val="Heading1"/>
        <w:spacing w:after="150" w:before="380"/>
      </w:pPr>
      <w:r>
        <w:t xml:space="preserve">3. Einsatz eines KI-gestützten Programms bei der Aktenbearbeitung</w:t>
      </w:r>
    </w:p>
    <w:p>
      <w:pPr>
        <w:spacing w:after="140"/>
      </w:pPr>
      <w:r>
        <w:t xml:space="preserve">Wir setzen zur Bearbeitung von Mandaten ein Programm ein, das Dokumente Ihrer Akte durch ein Sprachmodell auswerten lässt. Es erstellt daraus eine Übersicht des Sachverhalts, einen Zeitstrahl der Ereignisse und Entwürfe, die wir prüfen.</w:t>
      </w:r>
    </w:p>
    <w:p>
      <w:pPr>
        <w:spacing w:after="140"/>
      </w:pPr>
      <w:r>
        <w:rPr>
          <w:b/>
          <w:bCs/>
        </w:rPr>
        <w:t xml:space="preserve">Zweck.</w:t>
      </w:r>
      <w:r>
        <w:t xml:space="preserve"> Die Bearbeitung Ihres Mandats — und zwar ausschließlich dieses Mandats. Eine Auswertung über mehrere Akten hinweg findet nicht statt.</w:t>
      </w:r>
    </w:p>
    <w:p>
      <w:pPr>
        <w:spacing w:after="140"/>
      </w:pPr>
      <w:r>
        <w:rPr>
          <w:b/>
          <w:bCs/>
        </w:rPr>
        <w:t xml:space="preserve">Umfang.</w:t>
      </w:r>
      <w:r>
        <w:t xml:space="preserve"> An das Sprachmodell gehen nicht Ihre Akte als Ganzes, sondern einzelne, von der Bearbeiterin oder dem Bearbeiter </w:t>
      </w:r>
      <w:r>
        <w:rPr>
          <w:b/>
          <w:bCs/>
        </w:rPr>
        <w:t xml:space="preserve">ausgewählte Abschnitte</w:t>
      </w:r>
      <w:r>
        <w:t xml:space="preserve">. Was nicht ausgewählt ist, wird nicht übermittelt.</w:t>
      </w:r>
    </w:p>
    <w:p>
      <w:pPr>
        <w:spacing w:after="140"/>
      </w:pPr>
      <w:r>
        <w:rPr>
          <w:b/>
          <w:bCs/>
        </w:rPr>
        <w:t xml:space="preserve">Rechtsgrundlage.</w:t>
      </w:r>
    </w:p>
    <w:p>
      <w:pPr>
        <w:pStyle w:val="ListParagraph"/>
        <w:numPr>
          <w:ilvl w:val="0"/>
          <w:numId w:val="2"/>
        </w:numPr>
        <w:spacing w:after="100"/>
      </w:pPr>
      <w:r>
        <w:rPr>
          <w:b/>
          <w:bCs/>
        </w:rPr>
        <w:t xml:space="preserve">Art. 6 Abs. 1 lit. b DSGVO</w:t>
      </w:r>
      <w:r>
        <w:t xml:space="preserve"> — soweit es um Ihre eigenen Daten geht: Die Auswertung dient der Erfüllung des Mandatsvertrags.</w:t>
      </w:r>
    </w:p>
    <w:p>
      <w:pPr>
        <w:pStyle w:val="ListParagraph"/>
        <w:numPr>
          <w:ilvl w:val="0"/>
          <w:numId w:val="2"/>
        </w:numPr>
        <w:spacing w:after="100"/>
      </w:pPr>
      <w:r>
        <w:rPr>
          <w:b/>
          <w:bCs/>
        </w:rPr>
        <w:t xml:space="preserve">Art. 6 Abs. 1 lit. f DSGVO</w:t>
      </w:r>
      <w:r>
        <w:t xml:space="preserve"> — soweit Daten anderer in der Akte vorkommender Personen betroffen sind (Gegner, Zeugen, Dritte): unser berechtigtes Interesse und das Interesse unserer Mandantschaft an einer sorgfältigen und zügigen Bearbeitung.</w:t>
      </w:r>
    </w:p>
    <w:p>
      <w:pPr>
        <w:pStyle w:val="ListParagraph"/>
        <w:numPr>
          <w:ilvl w:val="0"/>
          <w:numId w:val="2"/>
        </w:numPr>
        <w:spacing w:after="100"/>
      </w:pPr>
      <w:r>
        <w:rPr>
          <w:b/>
          <w:bCs/>
        </w:rPr>
        <w:t xml:space="preserve">Art. 9 Abs. 2 lit. f DSGVO</w:t>
      </w:r>
      <w:r>
        <w:t xml:space="preserve"> — soweit besondere Kategorien personenbezogener Daten betroffen sind.</w:t>
      </w:r>
    </w:p>
    <w:p>
      <w:pPr>
        <w:spacing w:after="140"/>
      </w:pPr>
      <w:r>
        <w:t xml:space="preserve">Die Offenbarung gegenüber dem Auftragsverarbeiter ist berufsrechtlich zulässig (§ 203 Abs. 3 StGB, § 43e BRAO); er ist zur Verschwiegenheit verpflichtet.</w:t>
      </w:r>
    </w:p>
    <w:p>
      <w:pPr>
        <w:spacing w:after="140"/>
      </w:pPr>
      <w:r>
        <w:rPr>
          <w:b/>
          <w:bCs/>
        </w:rPr>
        <w:t xml:space="preserve">Empfänger.</w:t>
      </w:r>
      <w:r>
        <w:t xml:space="preserve"> Die Auswertung erfolgt durch </w:t>
      </w:r>
      <w:r>
        <w:rPr>
          <w:b/>
          <w:bCs/>
        </w:rPr>
        <w:t xml:space="preserve">Amazon Web Services</w:t>
      </w:r>
      <w:r>
        <w:t xml:space="preserve"> als Auftragsverarbeiter, ausschließlich in </w:t>
      </w:r>
      <w:r>
        <w:rPr>
          <w:b/>
          <w:bCs/>
        </w:rPr>
        <w:t xml:space="preserve">Rechenzentren in der Europäischen Union</w:t>
      </w:r>
      <w:r>
        <w:t xml:space="preserve">; für die Verarbeitung Ihrer Dokumente ist das Frankfurt am Main. Ein Auftragsverarbeitungsvertrag besteht.</w:t>
      </w:r>
    </w:p>
    <w:p>
      <w:pPr>
        <w:spacing w:after="140"/>
      </w:pPr>
      <w:r>
        <w:rPr>
          <w:b/>
          <w:bCs/>
        </w:rPr>
        <w:t xml:space="preserve">Ihre Daten werden nicht zum Training von KI-Modellen verwendet.</w:t>
      </w:r>
      <w:r>
        <w:t xml:space="preserve"> Der Auftragsverarbeiter darf die übermittelten Inhalte vertraglich nur insoweit nutzen, als es zur Erbringung des Dienstes erforderlich ist; eine Nutzung zu eigenen Zwecken — insbesondere zur Entwicklung oder Verbesserung eigener Modelle — ist ausgeschlossen.</w:t>
      </w:r>
    </w:p>
    <w:p>
      <w:pPr>
        <w:spacing w:after="140"/>
      </w:pPr>
      <w:r>
        <w:rPr>
          <w:b/>
          <w:bCs/>
        </w:rPr>
        <w:t xml:space="preserve">Übermittlung in Drittländer.</w:t>
      </w:r>
      <w:r>
        <w:t xml:space="preserve"> Findet nicht statt. </w:t>
      </w:r>
      <w:r>
        <w:rPr>
          <w:rFonts w:ascii="Consolas" w:cs="Consolas" w:eastAsia="Consolas" w:hAnsi="Consolas"/>
        </w:rPr>
        <w:t xml:space="preserve">[KANZLEI 2]</w:t>
      </w:r>
    </w:p>
    <w:p>
      <w:pPr>
        <w:spacing w:after="140"/>
      </w:pPr>
      <w:r>
        <w:rPr>
          <w:b/>
          <w:bCs/>
        </w:rPr>
        <w:t xml:space="preserve">Aufbewahrung beim Auftragsverarbeiter.</w:t>
      </w:r>
      <w:r>
        <w:t xml:space="preserve"> Die zur Auswertung übermittelten Texte werden dort </w:t>
      </w:r>
      <w:r>
        <w:rPr>
          <w:b/>
          <w:bCs/>
        </w:rPr>
        <w:t xml:space="preserve">nicht aufbewahrt</w:t>
      </w:r>
      <w:r>
        <w:t xml:space="preserve">: Sie werden verarbeitet und nicht gespeichert.</w:t>
      </w:r>
    </w:p>
    <w:p>
      <w:pPr>
        <w:spacing w:after="140"/>
      </w:pPr>
      <w:r>
        <w:rPr>
          <w:b/>
          <w:bCs/>
        </w:rPr>
        <w:t xml:space="preserve">Arbeitskopie in der Kanzlei.</w:t>
      </w:r>
      <w:r>
        <w:t xml:space="preserve"> Zur Bearbeitung über mehrere Termine hinweg speichert das Programm eine Arbeitskopie: die ausgelesenen Dokumenttexte, eine Übersicht des Sachverhalts, einen Zeitstrahl sowie frühere Fragen mit den Antworten. Diese Arbeitskopie liegt verschlüsselt in einem Speicher, der ausschließlich unserer Kanzlei zugeordnet ist. Sie wird gelöscht, </w:t>
      </w:r>
      <w:r>
        <w:rPr>
          <w:rFonts w:ascii="Consolas" w:cs="Consolas" w:eastAsia="Consolas" w:hAnsi="Consolas"/>
        </w:rPr>
        <w:t xml:space="preserve">[KANZLEI 3]</w:t>
      </w:r>
    </w:p>
    <w:p>
      <w:pPr>
        <w:spacing w:after="140"/>
      </w:pPr>
      <w:r>
        <w:rPr>
          <w:b/>
          <w:bCs/>
        </w:rPr>
        <w:t xml:space="preserve">Keine automatisierte Entscheidung.</w:t>
      </w:r>
      <w:r>
        <w:t xml:space="preserve"> Das Programm trifft keine Entscheidung über Sie im Sinne des </w:t>
      </w:r>
      <w:r>
        <w:rPr>
          <w:b/>
          <w:bCs/>
        </w:rPr>
        <w:t xml:space="preserve">Art. 22 DSGVO</w:t>
      </w:r>
      <w:r>
        <w:t xml:space="preserve">. Es bereitet vor; jede Entscheidung und jedes Schreiben, das unsere Kanzlei verlässt, stammt von einer Rechtsanwältin oder einem Rechtsanwalt.</w:t>
      </w:r>
    </w:p>
    <w:p>
      <w:pPr>
        <w:spacing w:after="140"/>
      </w:pPr>
      <w:r>
        <w:rPr>
          <w:b/>
          <w:bCs/>
        </w:rPr>
        <w:t xml:space="preserve">Sie können widersprechen.</w:t>
      </w:r>
      <w:r>
        <w:t xml:space="preserve"> Sie können jederzeit verlangen, dass wir dieses Programm in Ihrem Mandat nicht einsetzen. Die Bearbeitung erfolgt dann ohne dieses Hilfsmittel; Nachteile entstehen Ihnen daraus nicht.</w:t>
      </w:r>
    </w:p>
    <w:p>
      <w:pPr>
        <w:pStyle w:val="Heading2"/>
        <w:spacing w:after="120" w:before="280"/>
      </w:pPr>
      <w:r>
        <w:t xml:space="preserve">Was wir Ihnen dazu ausdrücklich sagen</w:t>
      </w:r>
    </w:p>
    <w:p>
      <w:pPr>
        <w:pStyle w:val="ListParagraph"/>
        <w:numPr>
          <w:ilvl w:val="0"/>
          <w:numId w:val="2"/>
        </w:numPr>
        <w:spacing w:after="100"/>
      </w:pPr>
      <w:r>
        <w:rPr>
          <w:b/>
          <w:bCs/>
        </w:rPr>
        <w:t xml:space="preserve">Das Programm ersetzt keine anwaltliche Prüfung.</w:t>
      </w:r>
      <w:r>
        <w:t xml:space="preserve"> Jede Aussage, die es erzeugt, muss auf eine konkrete Stelle in Ihrer Akte zeigen; tut sie das nicht, wird sie verworfen. Geprüft wird trotzdem von Hand.</w:t>
      </w:r>
    </w:p>
    <w:p>
      <w:pPr>
        <w:pStyle w:val="ListParagraph"/>
        <w:numPr>
          <w:ilvl w:val="0"/>
          <w:numId w:val="2"/>
        </w:numPr>
        <w:spacing w:after="100"/>
      </w:pPr>
      <w:r>
        <w:rPr>
          <w:b/>
          <w:bCs/>
        </w:rPr>
        <w:t xml:space="preserve">Fristen berechnet es nicht.</w:t>
      </w:r>
      <w:r>
        <w:t xml:space="preserve"> Es weist auf mögliche Fristauslöser hin; gerechnet wird in der Kanzlei.</w:t>
      </w:r>
    </w:p>
    <w:p>
      <w:pPr>
        <w:pStyle w:val="ListParagraph"/>
        <w:numPr>
          <w:ilvl w:val="0"/>
          <w:numId w:val="2"/>
        </w:numPr>
        <w:spacing w:after="100"/>
      </w:pPr>
      <w:r>
        <w:rPr>
          <w:b/>
          <w:bCs/>
        </w:rPr>
        <w:t xml:space="preserve">Es versendet nichts.</w:t>
      </w:r>
      <w:r>
        <w:t xml:space="preserve"> Entwürfe bleiben Entwürfe, bis wir sie freigeben.</w:t>
      </w:r>
    </w:p>
    <w:p>
      <w:pPr>
        <w:pStyle w:val="ListParagraph"/>
        <w:numPr>
          <w:ilvl w:val="0"/>
          <w:numId w:val="2"/>
        </w:numPr>
        <w:spacing w:after="100"/>
      </w:pPr>
      <w:r>
        <w:rPr>
          <w:b/>
          <w:bCs/>
        </w:rPr>
        <w:t xml:space="preserve">Was einmal zur Auswertung übermittelt wurde, lässt sich nicht zurückrufen.</w:t>
      </w:r>
      <w:r>
        <w:t xml:space="preserve"> Der Auftragsverarbeiter darf es nur zur Erbringung des Dienstes verwenden und bewahrt es nicht auf.</w:t>
      </w:r>
    </w:p>
    <w:p>
      <w:pPr>
        <w:spacing w:after="140"/>
      </w:pPr>
      <w:r>
        <w:rPr>
          <w:rFonts w:ascii="Consolas" w:cs="Consolas" w:eastAsia="Consolas" w:hAnsi="Consolas"/>
        </w:rPr>
        <w:t xml:space="preserve">[KANZLEI 4]</w:t>
      </w:r>
      <w:r>
        <w:t xml:space="preserve"> — </w:t>
      </w:r>
      <w:r>
        <w:rPr>
          <w:i/>
          <w:iCs/>
        </w:rPr>
        <w:t xml:space="preserve">dieser Kasten ist freiwillig; er steht nicht in Art. 13.</w:t>
      </w:r>
    </w:p>
    <w:p>
      <w:pPr>
        <w:pStyle w:val="Heading1"/>
        <w:spacing w:after="150" w:before="380"/>
      </w:pPr>
      <w:r>
        <w:t xml:space="preserve">4. Weitergabe von Daten an Dritte und an Auftragsverarbeiter</w:t>
      </w:r>
    </w:p>
    <w:p>
      <w:pPr>
        <w:spacing w:after="140"/>
      </w:pPr>
      <w:r>
        <w:t xml:space="preserve">Eine Übermittlung Ihrer persönlichen Daten an Dritte zu anderen als den im Folgenden aufgeführten Zwecken findet nicht statt.</w:t>
      </w:r>
    </w:p>
    <w:p>
      <w:pPr>
        <w:spacing w:after="140"/>
      </w:pPr>
      <w:r>
        <w:rPr>
          <w:b/>
          <w:bCs/>
        </w:rPr>
        <w:t xml:space="preserve">An Dritte.</w:t>
      </w:r>
      <w:r>
        <w:t xml:space="preserve"> Soweit dies nach Art. 6 Abs. 1 S. 1 lit. b DSGVO für die Abwicklung von Mandatsverhältnissen mit Ihnen erforderlich ist, werden Ihre personenbezogenen Daten an Dritte weitergegeben. Hierzu gehört insbesondere die Weitergabe an Verfahrensgegner und deren Vertreter (insbesondere deren Rechtsanwälte) sowie an Gerichte und andere öffentliche Behörden zum Zwecke der Korrespondenz sowie zur Geltendmachung und Verteidigung Ihrer Rechte. Die weitergegebenen Daten dürfen von dem Dritten ausschließlich zu den genannten Zwecken verwendet werden.</w:t>
      </w:r>
    </w:p>
    <w:p>
      <w:pPr>
        <w:spacing w:after="140"/>
      </w:pPr>
      <w:r>
        <w:rPr>
          <w:b/>
          <w:bCs/>
        </w:rPr>
        <w:t xml:space="preserve">Das Anwaltsgeheimnis bleibt unberührt.</w:t>
      </w:r>
      <w:r>
        <w:t xml:space="preserve"> Soweit es sich um Daten handelt, die dem Anwaltsgeheimnis unterliegen, erfolgt eine Weitergabe an Dritte nur in Absprache mit Ihnen.</w:t>
      </w:r>
    </w:p>
    <w:p>
      <w:pPr>
        <w:spacing w:after="140"/>
      </w:pPr>
      <w:r>
        <w:rPr>
          <w:b/>
          <w:bCs/>
        </w:rPr>
        <w:t xml:space="preserve">An Auftragsverarbeiter.</w:t>
      </w:r>
      <w:r>
        <w:t xml:space="preserve"> Daneben setzen wir Dienstleister ein, die Daten ausschließlich nach unserer Weisung und für uns verarbeiten (Auftragsverarbeiter nach Art. 28 DSGVO). Sie sind keine Dritten im Sinne des Art. 4 Nr. 10 DSGVO. Es handelt sich um folgende Kategorien:</w:t>
      </w:r>
    </w:p>
    <w:p>
      <w:pPr>
        <w:pStyle w:val="ListParagraph"/>
        <w:numPr>
          <w:ilvl w:val="0"/>
          <w:numId w:val="2"/>
        </w:numPr>
        <w:spacing w:after="100"/>
      </w:pPr>
      <w:r>
        <w:t xml:space="preserve">Anbieter der Kanzleisoftware und der elektronischen Akte,</w:t>
      </w:r>
    </w:p>
    <w:p>
      <w:pPr>
        <w:pStyle w:val="ListParagraph"/>
        <w:numPr>
          <w:ilvl w:val="0"/>
          <w:numId w:val="2"/>
        </w:numPr>
        <w:spacing w:after="100"/>
      </w:pPr>
      <w:r>
        <w:t xml:space="preserve">Anbieter des unter Ziffer 3 beschriebenen KI-gestützten Programms,</w:t>
      </w:r>
    </w:p>
    <w:p>
      <w:pPr>
        <w:pStyle w:val="ListParagraph"/>
        <w:numPr>
          <w:ilvl w:val="0"/>
          <w:numId w:val="2"/>
        </w:numPr>
        <w:spacing w:after="100"/>
      </w:pPr>
      <w:r>
        <w:t xml:space="preserve">Anbieter für IT-Betreuung, Datensicherung und Aktenvernichtung,</w:t>
      </w:r>
    </w:p>
    <w:p>
      <w:pPr>
        <w:pStyle w:val="ListParagraph"/>
        <w:numPr>
          <w:ilvl w:val="0"/>
          <w:numId w:val="2"/>
        </w:numPr>
        <w:spacing w:after="100"/>
      </w:pPr>
      <w:r>
        <w:rPr>
          <w:rFonts w:ascii="Consolas" w:cs="Consolas" w:eastAsia="Consolas" w:hAnsi="Consolas"/>
        </w:rPr>
        <w:t xml:space="preserve">[KANZLEI 5]</w:t>
      </w:r>
      <w:r>
        <w:t xml:space="preserve"> — </w:t>
      </w:r>
      <w:r>
        <w:rPr>
          <w:i/>
          <w:iCs/>
        </w:rPr>
        <w:t xml:space="preserve">weitere Kategorien ergänzen, falls vorhanden (z. B. Buchhaltung, Telefondienst, Druckdienstleister).</w:t>
      </w:r>
    </w:p>
    <w:p>
      <w:pPr>
        <w:spacing w:after="140"/>
      </w:pPr>
      <w:r>
        <w:t xml:space="preserve">Mit jedem dieser Dienstleister besteht ein Vertrag nach Art. 28 Abs. 3 DSGVO; sie sind zur Verschwiegenheit verpflichtet (§ 43e Abs. 3 BRAO).</w:t>
      </w:r>
    </w:p>
    <w:p>
      <w:pPr>
        <w:pStyle w:val="Heading1"/>
        <w:spacing w:after="150" w:before="380"/>
      </w:pPr>
      <w:r>
        <w:t xml:space="preserve">5. Daten, die wir nicht bei Ihnen selbst erhoben haben</w:t>
      </w:r>
    </w:p>
    <w:p>
      <w:pPr>
        <w:spacing w:after="140"/>
      </w:pPr>
      <w:r>
        <w:t xml:space="preserve">Im Rahmen eines Mandats verarbeiten wir regelmäßig auch personenbezogene Daten von Personen, die nicht unsere Mandantschaft sind — etwa von Verfahrensgegnern, Zeugen, Sachverständigen oder sonstigen Beteiligten. Diese Daten stammen aus der Mandatsakte, aus der Korrespondenz, aus Gerichts- und Behördenakten oder aus öffentlich zugänglichen Quellen.</w:t>
      </w:r>
    </w:p>
    <w:p>
      <w:pPr>
        <w:spacing w:after="140"/>
      </w:pPr>
      <w:r>
        <w:t xml:space="preserve">Die Verarbeitung beruht auf </w:t>
      </w:r>
      <w:r>
        <w:rPr>
          <w:b/>
          <w:bCs/>
        </w:rPr>
        <w:t xml:space="preserve">Art. 6 Abs. 1 lit. f DSGVO</w:t>
      </w:r>
      <w:r>
        <w:t xml:space="preserve">, bei besonderen Kategorien auf </w:t>
      </w:r>
      <w:r>
        <w:rPr>
          <w:b/>
          <w:bCs/>
        </w:rPr>
        <w:t xml:space="preserve">Art. 9 Abs. 2 lit. f DSGVO</w:t>
      </w:r>
      <w:r>
        <w:t xml:space="preserve">.</w:t>
      </w:r>
    </w:p>
    <w:p>
      <w:pPr>
        <w:spacing w:after="140"/>
      </w:pPr>
      <w:r>
        <w:rPr>
          <w:b/>
          <w:bCs/>
        </w:rPr>
        <w:t xml:space="preserve">Die Informationspflicht nach Art. 14 DSGVO besteht nicht, soweit</w:t>
      </w:r>
      <w:r>
        <w:t xml:space="preserve"> die betreffenden Daten dem Berufsgeheimnis unterliegen und deshalb vertraulich zu behandeln sind (</w:t>
      </w:r>
      <w:r>
        <w:rPr>
          <w:b/>
          <w:bCs/>
        </w:rPr>
        <w:t xml:space="preserve">Art. 14 Abs. 5 lit. d DSGVO</w:t>
      </w:r>
      <w:r>
        <w:t xml:space="preserve">, § 29 Abs. 1 BDSG). Das ist im anwaltlichen Mandat der Regelfall.</w:t>
      </w:r>
    </w:p>
    <w:p>
      <w:pPr>
        <w:pStyle w:val="Heading1"/>
        <w:spacing w:after="150" w:before="380"/>
      </w:pPr>
      <w:r>
        <w:t xml:space="preserve">6. Pflicht zur Bereitstellung</w:t>
      </w:r>
    </w:p>
    <w:p>
      <w:pPr>
        <w:spacing w:after="140"/>
      </w:pPr>
      <w:r>
        <w:t xml:space="preserve">Die Angabe Ihrer Daten ist weder gesetzlich noch vertraglich vorgeschrieben. Ohne die zur Bearbeitung erforderlichen Angaben können wir das Mandat allerdings nicht oder nicht sachgerecht führen. Soweit uns gesetzliche Pflichten zur Identifizierung treffen — insbesondere nach dem Geldwäschegesetz —, ist die Vorlage der dort genannten Nachweise gesetzlich vorgeschrieben.</w:t>
      </w:r>
    </w:p>
    <w:p>
      <w:pPr>
        <w:pStyle w:val="Heading1"/>
        <w:spacing w:after="150" w:before="380"/>
      </w:pPr>
      <w:r>
        <w:t xml:space="preserve">7. Betroffenenrechte</w:t>
      </w:r>
    </w:p>
    <w:p>
      <w:pPr>
        <w:spacing w:after="140"/>
      </w:pPr>
      <w:r>
        <w:t xml:space="preserve">Sie haben das Recht:</w:t>
      </w:r>
    </w:p>
    <w:p>
      <w:pPr>
        <w:pStyle w:val="ListParagraph"/>
        <w:numPr>
          <w:ilvl w:val="0"/>
          <w:numId w:val="2"/>
        </w:numPr>
        <w:spacing w:after="100"/>
      </w:pPr>
      <w:r>
        <w:t xml:space="preserve">gemäß </w:t>
      </w:r>
      <w:r>
        <w:rPr>
          <w:b/>
          <w:bCs/>
        </w:rPr>
        <w:t xml:space="preserve">Art. 7 Abs. 3 DSGVO</w:t>
      </w:r>
      <w:r>
        <w:t xml:space="preserve"> eine einmal erteilte Einwilligung jederzeit uns gegenüber zu widerrufen. Dies hat zur Folge, dass wir die Datenverarbeitung, die auf dieser Einwilligung beruhte, für die Zukunft nicht mehr fortführen dürfen;</w:t>
      </w:r>
    </w:p>
    <w:p>
      <w:pPr>
        <w:pStyle w:val="ListParagraph"/>
        <w:numPr>
          <w:ilvl w:val="0"/>
          <w:numId w:val="2"/>
        </w:numPr>
        <w:spacing w:after="100"/>
      </w:pPr>
      <w:r>
        <w:t xml:space="preserve">gemäß </w:t>
      </w:r>
      <w:r>
        <w:rPr>
          <w:b/>
          <w:bCs/>
        </w:rPr>
        <w:t xml:space="preserve">Art. 15 DSGVO</w:t>
      </w:r>
      <w:r>
        <w:t xml:space="preserve"> Auskunft über Ihre von uns verarbeiteten personenbezogenen Daten zu verlangen. Insbesondere können Sie Auskunft verlangen über die Verarbeitungszwecke, die Kategorie der personenbezogenen Daten, die Kategorien von Empfängern, gegenüber denen Ihre Daten offengelegt wurden oder werden, die geplante Speicherdauer, das Bestehen eines Rechts auf Berichtigung, Löschung, Einschränkung der Verarbeitung oder Widerspruch, das Bestehen eines Beschwerderechts, die Herkunft Ihrer Daten, sofern diese nicht bei uns erhoben wurden, sowie über das Bestehen einer automatisierten Entscheidungsfindung einschließlich Profiling und gegebenenfalls aussagekräftige Informationen zu deren Einzelheiten;</w:t>
      </w:r>
    </w:p>
    <w:p>
      <w:pPr>
        <w:pStyle w:val="ListParagraph"/>
        <w:numPr>
          <w:ilvl w:val="0"/>
          <w:numId w:val="2"/>
        </w:numPr>
        <w:spacing w:after="100"/>
      </w:pPr>
      <w:r>
        <w:t xml:space="preserve">gemäß </w:t>
      </w:r>
      <w:r>
        <w:rPr>
          <w:b/>
          <w:bCs/>
        </w:rPr>
        <w:t xml:space="preserve">Art. 16 DSGVO</w:t>
      </w:r>
      <w:r>
        <w:t xml:space="preserve"> unverzüglich die Berichtigung unrichtiger oder die Vervollständigung Ihrer bei uns gespeicherten personenbezogenen Daten zu verlangen;</w:t>
      </w:r>
    </w:p>
    <w:p>
      <w:pPr>
        <w:pStyle w:val="ListParagraph"/>
        <w:numPr>
          <w:ilvl w:val="0"/>
          <w:numId w:val="2"/>
        </w:numPr>
        <w:spacing w:after="100"/>
      </w:pPr>
      <w:r>
        <w:t xml:space="preserve">gemäß </w:t>
      </w:r>
      <w:r>
        <w:rPr>
          <w:b/>
          <w:bCs/>
        </w:rPr>
        <w:t xml:space="preserve">Art. 17 DSGVO</w:t>
      </w:r>
      <w:r>
        <w:t xml:space="preserve"> die Löschung Ihrer bei uns gespeicherten personenbezogenen Daten zu verlangen, soweit nicht die Verarbeitung zur Ausübung des Rechts auf freie Meinungsäußerung und Information, zur Erfüllung einer rechtlichen Verpflichtung, aus Gründen des öffentlichen Interesses oder zur Geltendmachung, Ausübung oder Verteidigung von Rechtsansprüchen erforderlich ist;</w:t>
      </w:r>
    </w:p>
    <w:p>
      <w:pPr>
        <w:pStyle w:val="ListParagraph"/>
        <w:numPr>
          <w:ilvl w:val="0"/>
          <w:numId w:val="2"/>
        </w:numPr>
        <w:spacing w:after="100"/>
      </w:pPr>
      <w:r>
        <w:t xml:space="preserve">gemäß </w:t>
      </w:r>
      <w:r>
        <w:rPr>
          <w:b/>
          <w:bCs/>
        </w:rPr>
        <w:t xml:space="preserve">Art. 18 DSGVO</w:t>
      </w:r>
      <w:r>
        <w:t xml:space="preserve"> die Einschränkung der Verarbeitung Ihrer personenbezogenen Daten zu verlangen, soweit die Richtigkeit der Daten von Ihnen bestritten wird, die Verarbeitung unrechtmäßig ist, Sie aber deren Löschung ablehnen und wir die Daten nicht mehr benötigen, Sie jedoch diese zur Geltendmachung, Ausübung oder Verteidigung von Rechtsansprüchen benötigen, oder Sie gemäß Art. 21 DSGVO Widerspruch gegen die Verarbeitung eingelegt haben;</w:t>
      </w:r>
    </w:p>
    <w:p>
      <w:pPr>
        <w:pStyle w:val="ListParagraph"/>
        <w:numPr>
          <w:ilvl w:val="0"/>
          <w:numId w:val="2"/>
        </w:numPr>
        <w:spacing w:after="100"/>
      </w:pPr>
      <w:r>
        <w:t xml:space="preserve">gemäß </w:t>
      </w:r>
      <w:r>
        <w:rPr>
          <w:b/>
          <w:bCs/>
        </w:rPr>
        <w:t xml:space="preserve">Art. 20 DSGVO</w:t>
      </w:r>
      <w:r>
        <w:t xml:space="preserve"> Ihre personenbezogenen Daten, die Sie uns bereitgestellt haben, in einem strukturierten, gängigen und maschinenlesbaren Format zu erhalten oder die Übermittlung an einen anderen Verantwortlichen zu verlangen;</w:t>
      </w:r>
    </w:p>
    <w:p>
      <w:pPr>
        <w:pStyle w:val="ListParagraph"/>
        <w:numPr>
          <w:ilvl w:val="0"/>
          <w:numId w:val="2"/>
        </w:numPr>
        <w:spacing w:after="100"/>
      </w:pPr>
      <w:r>
        <w:t xml:space="preserve">gemäß </w:t>
      </w:r>
      <w:r>
        <w:rPr>
          <w:b/>
          <w:bCs/>
        </w:rPr>
        <w:t xml:space="preserve">Art. 77 DSGVO</w:t>
      </w:r>
      <w:r>
        <w:t xml:space="preserve"> sich bei einer Aufsichtsbehörde zu beschweren. In der Regel können Sie sich hierfür an die Aufsichtsbehörde Ihres üblichen Aufenthaltsortes oder Arbeitsplatzes oder unseres Kanzleisitzes wenden. Für unseren Kanzleisitz ist das der Hamburgische Beauftragte für Datenschutz und Informationsfreiheit, Ludwig-Erhard-Straße 22, 20459 Hamburg.</w:t>
      </w:r>
    </w:p>
    <w:p>
      <w:pPr>
        <w:spacing w:after="140"/>
      </w:pPr>
      <w:r>
        <w:rPr>
          <w:b/>
          <w:bCs/>
        </w:rPr>
        <w:t xml:space="preserve">Die Rechte nach Art. 15 bis 18 gelten auch für die unter Ziffer 3 beschriebene Arbeitskopie.</w:t>
      </w:r>
      <w:r>
        <w:t xml:space="preserve"> Einzelne Dokumente und einzelne Auswertungen lassen sich gezielt daraus entfernen. Ihre Akte selbst bleibt davon unberührt; sie unterliegt den berufsrechtlichen Aufbewahrungspflichten.</w:t>
      </w:r>
    </w:p>
    <w:p>
      <w:pPr>
        <w:pStyle w:val="Heading1"/>
        <w:spacing w:after="150" w:before="380"/>
      </w:pPr>
      <w:r>
        <w:t xml:space="preserve">8. Widerspruchsrecht</w:t>
      </w:r>
    </w:p>
    <w:p>
      <w:pPr>
        <w:spacing w:after="140"/>
      </w:pPr>
      <w:r>
        <w:t xml:space="preserve">Sofern Ihre personenbezogenen Daten auf Grundlage von berechtigten Interessen gemäß </w:t>
      </w:r>
      <w:r>
        <w:rPr>
          <w:b/>
          <w:bCs/>
        </w:rPr>
        <w:t xml:space="preserve">Art. 6 Abs. 1 S. 1 lit. f DSGVO</w:t>
      </w:r>
      <w:r>
        <w:t xml:space="preserve"> verarbeitet werden, haben Sie das Recht, gemäß </w:t>
      </w:r>
      <w:r>
        <w:rPr>
          <w:b/>
          <w:bCs/>
        </w:rPr>
        <w:t xml:space="preserve">Art. 21 DSGVO</w:t>
      </w:r>
      <w:r>
        <w:t xml:space="preserve"> Widerspruch gegen die Verarbeitung Ihrer personenbezogenen Daten einzulegen, soweit dafür Gründe vorliegen, die sich aus Ihrer besonderen Situation ergeben.</w:t>
      </w:r>
    </w:p>
    <w:p>
      <w:pPr>
        <w:spacing w:after="140"/>
      </w:pPr>
      <w:r>
        <w:t xml:space="preserve">Möchten Sie von Ihrem Widerspruchsrecht Gebrauch machen, genügt eine E-Mail an info@dortschy-thunert.de.</w:t>
      </w:r>
    </w:p>
    <w:p>
      <w:pPr>
        <w:pBdr>
          <w:bottom w:val="single" w:color="999999" w:sz="6" w:space="8"/>
        </w:pBdr>
        <w:spacing w:after="200" w:before="200"/>
      </w:pPr>
    </w:p>
    <w:p>
      <w:pPr>
        <w:spacing w:after="140"/>
      </w:pPr>
      <w:r>
        <w:rPr>
          <w:i/>
          <w:iCs/>
        </w:rPr>
        <w:t xml:space="preserve">Stand dieser Hinweise: 15. Oktober 2026. Wir passen sie an, wenn sich die Verarbeitung ändert. Die jeweils geltende Fassung erhalten Sie auf Anfrage.</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2"/>
        <w:szCs w:val="22"/>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36"/>
      <w:szCs w:val="36"/>
    </w:rPr>
  </w:style>
  <w:style w:type="paragraph" w:styleId="Heading1">
    <w:name w:val="Heading 1"/>
    <w:basedOn w:val="Normal"/>
    <w:next w:val="Normal"/>
    <w:qFormat/>
    <w:rPr>
      <w:rFonts w:ascii="Franklin Gothic Book" w:cs="Franklin Gothic Book" w:eastAsia="Franklin Gothic Book" w:hAnsi="Franklin Gothic Book"/>
      <w:b/>
      <w:bCs/>
      <w:color w:val="000000"/>
      <w:sz w:val="26"/>
      <w:szCs w:val="26"/>
    </w:rPr>
  </w:style>
  <w:style w:type="paragraph" w:styleId="Heading2">
    <w:name w:val="Heading 2"/>
    <w:basedOn w:val="Normal"/>
    <w:next w:val="Normal"/>
    <w:qFormat/>
    <w:rPr>
      <w:rFonts w:ascii="Franklin Gothic Book" w:cs="Franklin Gothic Book" w:eastAsia="Franklin Gothic Book" w:hAnsi="Franklin Gothic Book"/>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HINWEISE-DATENVERARBEITUNG</dc:title>
  <dc:creator>Dortschy, Thunert und Partner mbB</dc:creator>
  <cp:lastModifiedBy>Un-named</cp:lastModifiedBy>
  <cp:revision>1</cp:revision>
  <dcterms:created xsi:type="dcterms:W3CDTF">2026-10-15T09:24:45.907Z</dcterms:created>
  <dcterms:modified xsi:type="dcterms:W3CDTF">2026-10-15T09:24:45.907Z</dcterms:modified>
</cp:coreProperties>
</file>

<file path=docProps/custom.xml><?xml version="1.0" encoding="utf-8"?>
<Properties xmlns="http://schemas.openxmlformats.org/officeDocument/2006/custom-properties" xmlns:vt="http://schemas.openxmlformats.org/officeDocument/2006/docPropsVTypes"/>
</file>