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Aktenvermerk</w:t>
      </w:r>
    </w:p>
    <w:p>
      <w:pPr>
        <w:spacing w:after="240"/>
      </w:pPr>
      <w:r>
        <w:rPr>
          <w:b/>
          <w:bCs/>
        </w:rPr>
        <w:t xml:space="preserve">Kanzlei Dortschy &amp; Thunert</w:t>
      </w:r>
    </w:p>
    <w:p>
      <w:pPr>
        <w:spacing w:after="120"/>
      </w:pPr>
      <w:r>
        <w:rPr>
          <w:b/>
          <w:bCs/>
        </w:rPr>
        <w:t xml:space="preserve">Gegenstand: </w:t>
      </w:r>
      <w:r>
        <w:t xml:space="preserve">Nachweise zum Auftragsverarbeiter Amazon Web Services — AI-services-Opt-out-Richtlinie, Vertragslage, Zertifikate und Prüfberichte</w:t>
      </w:r>
    </w:p>
    <w:p>
      <w:pPr>
        <w:spacing w:after="120"/>
      </w:pPr>
      <w:r>
        <w:rPr>
          <w:b/>
          <w:bCs/>
        </w:rPr>
        <w:t xml:space="preserve">Datum: </w:t>
      </w:r>
      <w:r>
        <w:t xml:space="preserve">14. Oktober 2026</w:t>
      </w:r>
    </w:p>
    <w:p>
      <w:pPr>
        <w:spacing w:after="160"/>
      </w:pPr>
      <w:r>
        <w:rPr>
          <w:b/>
          <w:bCs/>
        </w:rPr>
        <w:t xml:space="preserve">Zur Datenschutzakte. </w:t>
      </w:r>
      <w:r>
        <w:t xml:space="preserve">Betrifft die Datenschutz-Folgenabschätzung nach Art. 35 DSGVO zum Programm jusperfect sowie die Dokumentation der Dienstleisterauswahl nach § 43e Abs. 2 BRAO.</w:t>
      </w:r>
    </w:p>
    <w:p>
      <w:pPr>
        <w:pBdr>
          <w:bottom w:val="single" w:color="999999" w:sz="6" w:space="8"/>
        </w:pBdr>
        <w:spacing w:after="160"/>
      </w:pPr>
    </w:p>
    <w:p>
      <w:pPr>
        <w:pStyle w:val="Heading1"/>
        <w:spacing w:after="160" w:before="360"/>
      </w:pPr>
      <w:r>
        <w:t xml:space="preserve">1. Anlass</w:t>
      </w:r>
    </w:p>
    <w:p>
      <w:pPr>
        <w:spacing w:after="120"/>
      </w:pPr>
      <w:r>
        <w:t xml:space="preserve">Die Folgenabschätzung geht davon aus, dass bei der Verarbeitung durch die KI-Dienste von AWS keine Inhalte gespeichert und keine zur Verbesserung der Dienste verwendet werden. Eine Zweitprüfung hat am 5. Oktober 2026 festgestellt, dass dieser Schluss ohne eine wirksame AI-services-Opt-out-Richtlinie des Kontos nicht trägt. Bis zu deren Nachweis durfte keine Unterlage der Kanzlei eine Nicht-Speicherung behaupten.</w:t>
      </w:r>
    </w:p>
    <w:p>
      <w:pPr>
        <w:spacing w:after="120"/>
      </w:pPr>
      <w:r>
        <w:t xml:space="preserve">Daneben war die Auswahl des Auftragsverarbeiters nach § 43e Abs. 2 BRAO zu dokumentieren.</w:t>
      </w:r>
    </w:p>
    <w:p>
      <w:pPr>
        <w:spacing w:after="120"/>
      </w:pPr>
      <w:r>
        <w:t xml:space="preserve">Beides ist am heutigen Tage erledigt worden. Der Vorgang ist nachstehend festgehalten.</w:t>
      </w:r>
    </w:p>
    <w:p>
      <w:pPr>
        <w:pStyle w:val="Heading1"/>
        <w:spacing w:after="160" w:before="360"/>
      </w:pPr>
      <w:r>
        <w:t xml:space="preserve">2. Was festgestellt wurde</w:t>
      </w:r>
    </w:p>
    <w:p>
      <w:pPr>
        <w:pStyle w:val="Heading2"/>
        <w:spacing w:after="120" w:before="280"/>
      </w:pPr>
      <w:r>
        <w:t xml:space="preserve">2.1 Die Opt-out-Richtlinie</w:t>
      </w:r>
    </w:p>
    <w:p>
      <w:pPr>
        <w:spacing w:after="120"/>
      </w:pPr>
      <w:r>
        <w:t xml:space="preserve">Betroffen ist das AWS-Konto </w:t>
      </w:r>
      <w:r>
        <w:rPr>
          <w:b/>
          <w:bCs/>
        </w:rPr>
        <w:t xml:space="preserve">579138738703</w:t>
      </w:r>
      <w:r>
        <w:t xml:space="preserve">, Region eu-central-1 (Frankfurt am Main).</w:t>
      </w:r>
    </w:p>
    <w:p>
      <w:pPr>
        <w:spacing w:after="120"/>
      </w:pPr>
    </w:p>
    <w:p>
      <w:pPr>
        <w:pStyle w:val="ListParagraph"/>
        <w:numPr>
          <w:ilvl w:val="0"/>
          <w:numId w:val="2"/>
        </w:numPr>
        <w:spacing w:after="100"/>
      </w:pPr>
      <w:r>
        <w:t xml:space="preserve">Für das Konto wurde eine AWS-Organisation angelegt. Sie besteht aus diesem einen Konto; es ist zugleich das Verwaltungskonto. Eine Opt-out-Richtlinie ist nur innerhalb einer Organisation möglich.</w:t>
      </w:r>
    </w:p>
    <w:p>
      <w:pPr>
        <w:pStyle w:val="ListParagraph"/>
        <w:numPr>
          <w:ilvl w:val="0"/>
          <w:numId w:val="2"/>
        </w:numPr>
        <w:spacing w:after="100"/>
      </w:pPr>
      <w:r>
        <w:t xml:space="preserve">Die Richtlinienart </w:t>
      </w:r>
      <w:r>
        <w:rPr>
          <w:b/>
          <w:bCs/>
        </w:rPr>
        <w:t xml:space="preserve">„Abmelderichtlinien für KI-Services“</w:t>
      </w:r>
      <w:r>
        <w:t xml:space="preserve"> (AI services opt-out policies) wurde eingeschaltet.</w:t>
      </w:r>
    </w:p>
    <w:p>
      <w:pPr>
        <w:pStyle w:val="ListParagraph"/>
        <w:numPr>
          <w:ilvl w:val="0"/>
          <w:numId w:val="2"/>
        </w:numPr>
        <w:spacing w:after="100"/>
      </w:pPr>
      <w:r>
        <w:t xml:space="preserve">Die Richtlinie </w:t>
      </w:r>
      <w:r>
        <w:rPr>
          <w:b/>
          <w:bCs/>
        </w:rPr>
        <w:t xml:space="preserve">jusperfect-keine-ki-nutzung</w:t>
      </w:r>
      <w:r>
        <w:t xml:space="preserve"> wurde angelegt und an die Stammorganisation gehängt.</w:t>
      </w:r>
    </w:p>
    <w:p>
      <w:pPr>
        <w:pStyle w:val="ListParagraph"/>
        <w:numPr>
          <w:ilvl w:val="0"/>
          <w:numId w:val="2"/>
        </w:numPr>
        <w:spacing w:after="100"/>
      </w:pPr>
      <w:r>
        <w:t xml:space="preserve">Am Konto wurde die </w:t>
      </w:r>
      <w:r>
        <w:rPr>
          <w:b/>
          <w:bCs/>
        </w:rPr>
        <w:t xml:space="preserve">effektive</w:t>
      </w:r>
      <w:r>
        <w:t xml:space="preserve"> Richtlinie abgerufen. Sie lautet:</w:t>
      </w:r>
    </w:p>
    <w:p>
      <w:pPr>
        <w:spacing w:after="120" w:before="60"/>
        <w:ind w:left="700"/>
      </w:pPr>
      <w:r>
        <w:rPr>
          <w:rFonts w:ascii="Consolas" w:cs="Consolas" w:eastAsia="Consolas" w:hAnsi="Consolas"/>
          <w:sz w:val="20"/>
          <w:szCs w:val="20"/>
        </w:rPr>
        <w:t xml:space="preserve">{ "services": { "default": { "opt_out_policy": "optOut" } } }</w:t>
      </w:r>
    </w:p>
    <w:p>
      <w:pPr>
        <w:spacing w:after="160"/>
        <w:ind w:left="700"/>
      </w:pPr>
      <w:r>
        <w:t xml:space="preserve">Zeitpunkt der Feststellung: </w:t>
      </w:r>
      <w:r>
        <w:rPr>
          <w:b/>
          <w:bCs/>
        </w:rPr>
        <w:t xml:space="preserve">14.10.2026, 17:11 Uhr MESZ.</w:t>
      </w:r>
      <w:r>
        <w:t xml:space="preserve"> AWS meldet keine Validierungsprobleme. Als Quelle ist „Verknüpft mit Root“ ausgewiesen.</w:t>
      </w:r>
    </w:p>
    <w:p>
      <w:pPr>
        <w:pBdr>
          <w:left w:val="single" w:color="888888" w:sz="12" w:space="12"/>
        </w:pBdr>
        <w:spacing w:after="200" w:before="160"/>
        <w:ind w:left="340"/>
      </w:pPr>
      <w:r>
        <w:rPr>
          <w:b/>
          <w:bCs/>
        </w:rPr>
        <w:t xml:space="preserve">Zum Unterschied zwischen erstellt und wirksam. </w:t>
      </w:r>
      <w:r>
        <w:t xml:space="preserve">Eine angelegte, aber nicht angehängte Richtlinie bewirkt nichts und sieht in der Konsole fast genauso aus. Der Nachweis ist deshalb am Konto abgelesen worden und nicht an der Richtlinie. Damit ist zugleich geklärt, dass eine Richtlinie an der Stammorganisation auch das Verwaltungskonto erfasst — bei den Service-Kontrollrichtlinien ist das bekanntlich nicht so.</w:t>
      </w:r>
    </w:p>
    <w:p>
      <w:pPr>
        <w:pStyle w:val="Heading2"/>
        <w:spacing w:after="120" w:before="280"/>
      </w:pPr>
      <w:r>
        <w:t xml:space="preserve">2.2 Die Vereinbarungen</w:t>
      </w:r>
    </w:p>
    <w:p>
      <w:pPr>
        <w:spacing w:after="100"/>
      </w:pPr>
      <w:r>
        <w:t xml:space="preserve">In AWS Artifact wurden beide Reiter durchgesehen:</w:t>
      </w:r>
    </w:p>
    <w:p>
      <w:pPr>
        <w:pStyle w:val="ListParagraph"/>
        <w:numPr>
          <w:ilvl w:val="0"/>
          <w:numId w:val="3"/>
        </w:numPr>
        <w:spacing w:after="100"/>
      </w:pPr>
      <w:r>
        <w:rPr>
          <w:b/>
          <w:bCs/>
        </w:rPr>
        <w:t xml:space="preserve">Kontovereinbarungen: </w:t>
      </w:r>
      <w:r>
        <w:t xml:space="preserve">zehn Einträge, sämtlich inaktiv.</w:t>
      </w:r>
    </w:p>
    <w:p>
      <w:pPr>
        <w:pStyle w:val="ListParagraph"/>
        <w:numPr>
          <w:ilvl w:val="0"/>
          <w:numId w:val="3"/>
        </w:numPr>
        <w:spacing w:after="100"/>
      </w:pPr>
      <w:r>
        <w:rPr>
          <w:b/>
          <w:bCs/>
        </w:rPr>
        <w:t xml:space="preserve">Organisationsvereinbarungen: </w:t>
      </w:r>
      <w:r>
        <w:t xml:space="preserve">fünf Einträge, sämtlich inaktiv.</w:t>
      </w:r>
    </w:p>
    <w:p>
      <w:pPr>
        <w:spacing w:after="120" w:before="100"/>
      </w:pPr>
      <w:r>
        <w:t xml:space="preserve">Es handelt sich durchweg um Zusatzvereinbarungen für besondere Lagen (Australien, Neuseeland, Japan, US-Gesundheitsdaten nach HIPAA, US-Wertpapieraufsicht nach SEC, kostenlose Beratungsleistungen). </w:t>
      </w:r>
      <w:r>
        <w:rPr>
          <w:b/>
          <w:bCs/>
        </w:rPr>
        <w:t xml:space="preserve">Keine davon ist für die Kanzlei einschlägig; keine wurde angenommen.</w:t>
      </w:r>
    </w:p>
    <w:p>
      <w:pPr>
        <w:spacing w:after="120"/>
      </w:pPr>
      <w:r>
        <w:t xml:space="preserve">Ein gesonderter DSGVO-Zusatz steht dort nicht zur Annahme bereit. AWS hat ihn in die Kundenvereinbarung aufgenommen; er gilt ohne gesonderte Annahme.</w:t>
      </w:r>
    </w:p>
    <w:p>
      <w:pPr>
        <w:pStyle w:val="Heading2"/>
        <w:spacing w:after="120" w:before="280"/>
      </w:pPr>
      <w:r>
        <w:t xml:space="preserve">2.3 Die Vertragslage</w:t>
      </w:r>
    </w:p>
    <w:p>
      <w:pPr>
        <w:spacing w:after="120"/>
      </w:pPr>
      <w:r>
        <w:t xml:space="preserve">Es liegen vor und sind geprüft: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0"/>
        <w:gridCol w:w="3354"/>
      </w:tblGrid>
      <w:tr>
        <w:trPr>
          <w:tblHeader/>
        </w:trPr>
        <w:tc>
          <w:tcPr>
            <w:tcW w:type="dxa" w:w="6000"/>
            <w:shd w:fill="EFEFEF" w:color="auto" w:val="clear"/>
            <w:tcMar>
              <w:top w:type="dxa" w:w="60"/>
              <w:left w:type="dxa" w:w="100"/>
              <w:bottom w:type="dxa" w:w="60"/>
              <w:right w:type="dxa" w:w="100"/>
            </w:tcMar>
          </w:tcPr>
          <w:p>
            <w:pPr>
              <w:spacing w:after="0"/>
            </w:pPr>
            <w:r>
              <w:rPr>
                <w:b/>
                <w:bCs/>
              </w:rPr>
              <w:t xml:space="preserve">Unterlage</w:t>
            </w:r>
          </w:p>
        </w:tc>
        <w:tc>
          <w:tcPr>
            <w:tcW w:type="dxa" w:w="3354"/>
            <w:shd w:fill="EFEFEF" w:color="auto" w:val="clear"/>
            <w:tcMar>
              <w:top w:type="dxa" w:w="60"/>
              <w:left w:type="dxa" w:w="100"/>
              <w:bottom w:type="dxa" w:w="60"/>
              <w:right w:type="dxa" w:w="100"/>
            </w:tcMar>
          </w:tcPr>
          <w:p>
            <w:pPr>
              <w:spacing w:after="0"/>
            </w:pPr>
            <w:r>
              <w:rPr>
                <w:b/>
                <w:bCs/>
              </w:rPr>
              <w:t xml:space="preserve">Fassung</w:t>
            </w:r>
          </w:p>
        </w:tc>
      </w:tr>
      <w:tr>
        <w:tc>
          <w:tcPr>
            <w:tcW w:type="dxa" w:w="6000"/>
            <w:tcMar>
              <w:top w:type="dxa" w:w="60"/>
              <w:left w:type="dxa" w:w="100"/>
              <w:bottom w:type="dxa" w:w="60"/>
              <w:right w:type="dxa" w:w="100"/>
            </w:tcMar>
          </w:tcPr>
          <w:p>
            <w:pPr>
              <w:spacing w:after="0"/>
            </w:pPr>
            <w:r>
              <w:t xml:space="preserve">AWS Data Processing Addendum (Auftragsverarbeitungsvertrag)</w:t>
            </w:r>
          </w:p>
        </w:tc>
        <w:tc>
          <w:tcPr>
            <w:tcW w:type="dxa" w:w="3354"/>
            <w:tcMar>
              <w:top w:type="dxa" w:w="60"/>
              <w:left w:type="dxa" w:w="100"/>
              <w:bottom w:type="dxa" w:w="60"/>
              <w:right w:type="dxa" w:w="100"/>
            </w:tcMar>
          </w:tcPr>
          <w:p>
            <w:pPr>
              <w:spacing w:after="0"/>
            </w:pPr>
            <w:r>
              <w:t xml:space="preserve">am 14.10.2026 abgerufen</w:t>
            </w:r>
          </w:p>
        </w:tc>
      </w:tr>
      <w:tr>
        <w:tc>
          <w:tcPr>
            <w:tcW w:type="dxa" w:w="6000"/>
            <w:tcMar>
              <w:top w:type="dxa" w:w="60"/>
              <w:left w:type="dxa" w:w="100"/>
              <w:bottom w:type="dxa" w:w="60"/>
              <w:right w:type="dxa" w:w="100"/>
            </w:tcMar>
          </w:tcPr>
          <w:p>
            <w:pPr>
              <w:spacing w:after="0"/>
            </w:pPr>
            <w:r>
              <w:t xml:space="preserve">AWS-Kundenvereinbarung, deutsche Fassung</w:t>
            </w:r>
          </w:p>
        </w:tc>
        <w:tc>
          <w:tcPr>
            <w:tcW w:type="dxa" w:w="3354"/>
            <w:tcMar>
              <w:top w:type="dxa" w:w="60"/>
              <w:left w:type="dxa" w:w="100"/>
              <w:bottom w:type="dxa" w:w="60"/>
              <w:right w:type="dxa" w:w="100"/>
            </w:tcMar>
          </w:tcPr>
          <w:p>
            <w:pPr>
              <w:spacing w:after="0"/>
            </w:pPr>
            <w:r>
              <w:t xml:space="preserve">Stand 01.06.2026</w:t>
            </w:r>
          </w:p>
        </w:tc>
      </w:tr>
      <w:tr>
        <w:tc>
          <w:tcPr>
            <w:tcW w:type="dxa" w:w="6000"/>
            <w:tcMar>
              <w:top w:type="dxa" w:w="60"/>
              <w:left w:type="dxa" w:w="100"/>
              <w:bottom w:type="dxa" w:w="60"/>
              <w:right w:type="dxa" w:w="100"/>
            </w:tcMar>
          </w:tcPr>
          <w:p>
            <w:pPr>
              <w:spacing w:after="0"/>
            </w:pPr>
            <w:r>
              <w:t xml:space="preserve">AWS-Datenschutzhinweis</w:t>
            </w:r>
          </w:p>
        </w:tc>
        <w:tc>
          <w:tcPr>
            <w:tcW w:type="dxa" w:w="3354"/>
            <w:tcMar>
              <w:top w:type="dxa" w:w="60"/>
              <w:left w:type="dxa" w:w="100"/>
              <w:bottom w:type="dxa" w:w="60"/>
              <w:right w:type="dxa" w:w="100"/>
            </w:tcMar>
          </w:tcPr>
          <w:p>
            <w:pPr>
              <w:spacing w:after="0"/>
            </w:pPr>
            <w:r>
              <w:t xml:space="preserve">Stand 18.05.2026</w:t>
            </w:r>
          </w:p>
        </w:tc>
      </w:tr>
    </w:tbl>
    <w:p>
      <w:pPr>
        <w:spacing w:after="120"/>
      </w:pPr>
    </w:p>
    <w:p>
      <w:pPr>
        <w:spacing w:after="120" w:before="120"/>
      </w:pPr>
      <w:r>
        <w:t xml:space="preserve">Das Data Processing Addendum ist Abschnitt für Abschnitt gegen Art. 28 Abs. 3 DSGVO gelesen worden; </w:t>
      </w:r>
      <w:r>
        <w:rPr>
          <w:b/>
          <w:bCs/>
        </w:rPr>
        <w:t xml:space="preserve">alle acht Punkte sind belegt.</w:t>
      </w:r>
    </w:p>
    <w:p>
      <w:pPr>
        <w:spacing w:after="100"/>
      </w:pPr>
      <w:r>
        <w:t xml:space="preserve">Drei Feststellungen daraus:</w:t>
      </w:r>
    </w:p>
    <w:p>
      <w:pPr>
        <w:spacing w:after="120"/>
      </w:pPr>
    </w:p>
    <w:p>
      <w:pPr>
        <w:pStyle w:val="ListParagraph"/>
        <w:numPr>
          <w:ilvl w:val="0"/>
          <w:numId w:val="4"/>
        </w:numPr>
        <w:spacing w:after="100"/>
      </w:pPr>
      <w:r>
        <w:rPr>
          <w:b/>
          <w:bCs/>
        </w:rPr>
        <w:t xml:space="preserve">Die Nutzungsschranke steht in der Kundenvereinbarung, nicht im Auftragsverarbeitungsvertrag. </w:t>
      </w:r>
      <w:r>
        <w:t xml:space="preserve">Deren Ziffer 1.4 ist die tragende Stelle und reicht weiter, weil sie für „Ihre Inhalte“ gilt und nicht nur für personenbezogene Daten: AWS greift auf Inhalte nicht zu und nutzt sie nicht, außer soweit zur Wartung oder Erbringung der Services nötig oder gesetzlich gefordert. Ergänzend Ziffer 6.1.</w:t>
      </w:r>
    </w:p>
    <w:p>
      <w:pPr>
        <w:pStyle w:val="ListParagraph"/>
        <w:numPr>
          <w:ilvl w:val="0"/>
          <w:numId w:val="4"/>
        </w:numPr>
        <w:spacing w:after="100"/>
      </w:pPr>
      <w:r>
        <w:rPr>
          <w:b/>
          <w:bCs/>
        </w:rPr>
        <w:t xml:space="preserve">Der Datenschutzhinweis gilt ausdrücklich nicht für Akteninhalt</w:t>
      </w:r>
      <w:r>
        <w:t xml:space="preserve">, sondern nur für Account-Informationen. Er nennt als Zweck unter anderem die Verbesserung der AWS-Angebote; dieser Zweck betrifft den Akteninhalt nicht.</w:t>
      </w:r>
    </w:p>
    <w:p>
      <w:pPr>
        <w:pStyle w:val="ListParagraph"/>
        <w:numPr>
          <w:ilvl w:val="0"/>
          <w:numId w:val="4"/>
        </w:numPr>
        <w:spacing w:after="100"/>
      </w:pPr>
      <w:r>
        <w:rPr>
          <w:b/>
          <w:bCs/>
        </w:rPr>
        <w:t xml:space="preserve">Vertragspartei ist für Kunden mit Sitz in der EU die Amazon Web Services EMEA SARL, Luxemburg. </w:t>
      </w:r>
      <w:r>
        <w:t xml:space="preserve">Ihr gegenüber ist die Haftung für grobe Fahrlässigkeit und Vorsatz nicht beschränkt.</w:t>
      </w:r>
    </w:p>
    <w:p>
      <w:pPr>
        <w:spacing w:after="120" w:before="100"/>
      </w:pPr>
      <w:r>
        <w:t xml:space="preserve">Beide letztgenannten Stücke liegen in deutscher Übersetzung vor und tragen den Hinweis, dass bei Abweichungen die </w:t>
      </w:r>
      <w:r>
        <w:rPr>
          <w:b/>
          <w:bCs/>
        </w:rPr>
        <w:t xml:space="preserve">englische Fassung maßgeblich</w:t>
      </w:r>
      <w:r>
        <w:t xml:space="preserve"> ist.</w:t>
      </w:r>
    </w:p>
    <w:p>
      <w:pPr>
        <w:pStyle w:val="Heading2"/>
        <w:spacing w:after="120" w:before="280"/>
      </w:pPr>
      <w:r>
        <w:t xml:space="preserve">2.4 Die Nachweise der Prüfer</w:t>
      </w:r>
    </w:p>
    <w:p>
      <w:pPr>
        <w:spacing w:after="120"/>
      </w:pPr>
      <w:r>
        <w:t xml:space="preserve">Aus AWS Artifact wurden am 14.10.2026 abgerufen: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000"/>
        <w:gridCol w:w="5354"/>
      </w:tblGrid>
      <w:tr>
        <w:trPr>
          <w:tblHeader/>
        </w:trPr>
        <w:tc>
          <w:tcPr>
            <w:tcW w:type="dxa" w:w="4000"/>
            <w:shd w:fill="EFEFEF" w:color="auto" w:val="clear"/>
            <w:tcMar>
              <w:top w:type="dxa" w:w="60"/>
              <w:left w:type="dxa" w:w="100"/>
              <w:bottom w:type="dxa" w:w="60"/>
              <w:right w:type="dxa" w:w="100"/>
            </w:tcMar>
          </w:tcPr>
          <w:p>
            <w:pPr>
              <w:spacing w:after="0"/>
            </w:pPr>
            <w:r>
              <w:rPr>
                <w:b/>
                <w:bCs/>
              </w:rPr>
              <w:t xml:space="preserve">Nachweis</w:t>
            </w:r>
          </w:p>
        </w:tc>
        <w:tc>
          <w:tcPr>
            <w:tcW w:type="dxa" w:w="5354"/>
            <w:shd w:fill="EFEFEF" w:color="auto" w:val="clear"/>
            <w:tcMar>
              <w:top w:type="dxa" w:w="60"/>
              <w:left w:type="dxa" w:w="100"/>
              <w:bottom w:type="dxa" w:w="60"/>
              <w:right w:type="dxa" w:w="100"/>
            </w:tcMar>
          </w:tcPr>
          <w:p>
            <w:pPr>
              <w:spacing w:after="0"/>
            </w:pPr>
            <w:r>
              <w:rPr>
                <w:b/>
                <w:bCs/>
              </w:rPr>
              <w:t xml:space="preserve">Gegenstand</w:t>
            </w:r>
          </w:p>
        </w:tc>
      </w:tr>
      <w:tr>
        <w:tc>
          <w:tcPr>
            <w:tcW w:type="dxa" w:w="4000"/>
            <w:tcMar>
              <w:top w:type="dxa" w:w="60"/>
              <w:left w:type="dxa" w:w="100"/>
              <w:bottom w:type="dxa" w:w="60"/>
              <w:right w:type="dxa" w:w="100"/>
            </w:tcMar>
          </w:tcPr>
          <w:p>
            <w:pPr>
              <w:spacing w:after="0"/>
            </w:pPr>
            <w:r>
              <w:t xml:space="preserve">ISO 27001:2022 Certification</w:t>
            </w:r>
          </w:p>
        </w:tc>
        <w:tc>
          <w:tcPr>
            <w:tcW w:type="dxa" w:w="5354"/>
            <w:tcMar>
              <w:top w:type="dxa" w:w="60"/>
              <w:left w:type="dxa" w:w="100"/>
              <w:bottom w:type="dxa" w:w="60"/>
              <w:right w:type="dxa" w:w="100"/>
            </w:tcMar>
          </w:tcPr>
          <w:p>
            <w:pPr>
              <w:spacing w:after="0"/>
            </w:pPr>
            <w:r>
              <w:t xml:space="preserve">Informationssicherheit</w:t>
            </w:r>
          </w:p>
        </w:tc>
      </w:tr>
      <w:tr>
        <w:tc>
          <w:tcPr>
            <w:tcW w:type="dxa" w:w="4000"/>
            <w:tcMar>
              <w:top w:type="dxa" w:w="60"/>
              <w:left w:type="dxa" w:w="100"/>
              <w:bottom w:type="dxa" w:w="60"/>
              <w:right w:type="dxa" w:w="100"/>
            </w:tcMar>
          </w:tcPr>
          <w:p>
            <w:pPr>
              <w:spacing w:after="0"/>
            </w:pPr>
            <w:r>
              <w:t xml:space="preserve">ISO 27017:2015 Certification</w:t>
            </w:r>
          </w:p>
        </w:tc>
        <w:tc>
          <w:tcPr>
            <w:tcW w:type="dxa" w:w="5354"/>
            <w:tcMar>
              <w:top w:type="dxa" w:w="60"/>
              <w:left w:type="dxa" w:w="100"/>
              <w:bottom w:type="dxa" w:w="60"/>
              <w:right w:type="dxa" w:w="100"/>
            </w:tcMar>
          </w:tcPr>
          <w:p>
            <w:pPr>
              <w:spacing w:after="0"/>
            </w:pPr>
            <w:r>
              <w:t xml:space="preserve">Sicherheit in der Cloud</w:t>
            </w:r>
          </w:p>
        </w:tc>
      </w:tr>
      <w:tr>
        <w:tc>
          <w:tcPr>
            <w:tcW w:type="dxa" w:w="4000"/>
            <w:tcMar>
              <w:top w:type="dxa" w:w="60"/>
              <w:left w:type="dxa" w:w="100"/>
              <w:bottom w:type="dxa" w:w="60"/>
              <w:right w:type="dxa" w:w="100"/>
            </w:tcMar>
          </w:tcPr>
          <w:p>
            <w:pPr>
              <w:spacing w:after="0"/>
            </w:pPr>
            <w:r>
              <w:t xml:space="preserve">ISO 27018:2019 Certification</w:t>
            </w:r>
          </w:p>
        </w:tc>
        <w:tc>
          <w:tcPr>
            <w:tcW w:type="dxa" w:w="5354"/>
            <w:tcMar>
              <w:top w:type="dxa" w:w="60"/>
              <w:left w:type="dxa" w:w="100"/>
              <w:bottom w:type="dxa" w:w="60"/>
              <w:right w:type="dxa" w:w="100"/>
            </w:tcMar>
          </w:tcPr>
          <w:p>
            <w:pPr>
              <w:spacing w:after="0"/>
            </w:pPr>
            <w:r>
              <w:t xml:space="preserve">Schutz personenbezogener Daten in der Cloud</w:t>
            </w:r>
          </w:p>
        </w:tc>
      </w:tr>
      <w:tr>
        <w:tc>
          <w:tcPr>
            <w:tcW w:type="dxa" w:w="4000"/>
            <w:tcMar>
              <w:top w:type="dxa" w:w="60"/>
              <w:left w:type="dxa" w:w="100"/>
              <w:bottom w:type="dxa" w:w="60"/>
              <w:right w:type="dxa" w:w="100"/>
            </w:tcMar>
          </w:tcPr>
          <w:p>
            <w:pPr>
              <w:spacing w:after="0"/>
            </w:pPr>
            <w:r>
              <w:t xml:space="preserve">ISO/IEC 27701:2019 Certification</w:t>
            </w:r>
          </w:p>
        </w:tc>
        <w:tc>
          <w:tcPr>
            <w:tcW w:type="dxa" w:w="5354"/>
            <w:tcMar>
              <w:top w:type="dxa" w:w="60"/>
              <w:left w:type="dxa" w:w="100"/>
              <w:bottom w:type="dxa" w:w="60"/>
              <w:right w:type="dxa" w:w="100"/>
            </w:tcMar>
          </w:tcPr>
          <w:p>
            <w:pPr>
              <w:spacing w:after="0"/>
            </w:pPr>
            <w:r>
              <w:t xml:space="preserve">Datenschutz-Managementsystem</w:t>
            </w:r>
          </w:p>
        </w:tc>
      </w:tr>
      <w:tr>
        <w:tc>
          <w:tcPr>
            <w:tcW w:type="dxa" w:w="4000"/>
            <w:tcMar>
              <w:top w:type="dxa" w:w="60"/>
              <w:left w:type="dxa" w:w="100"/>
              <w:bottom w:type="dxa" w:w="60"/>
              <w:right w:type="dxa" w:w="100"/>
            </w:tcMar>
          </w:tcPr>
          <w:p>
            <w:pPr>
              <w:spacing w:after="0"/>
            </w:pPr>
            <w:r>
              <w:t xml:space="preserve">System and Organization Controls (SOC) 2 Report, Typ 2</w:t>
            </w:r>
          </w:p>
        </w:tc>
        <w:tc>
          <w:tcPr>
            <w:tcW w:type="dxa" w:w="5354"/>
            <w:tcMar>
              <w:top w:type="dxa" w:w="60"/>
              <w:left w:type="dxa" w:w="100"/>
              <w:bottom w:type="dxa" w:w="60"/>
              <w:right w:type="dxa" w:w="100"/>
            </w:tcMar>
          </w:tcPr>
          <w:p>
            <w:pPr>
              <w:spacing w:after="0"/>
            </w:pPr>
            <w:r>
              <w:t xml:space="preserve">Berichtszeitraum 1. April 2025 bis 31. März 2026; geprüfte Kriterien: Security, Availability, Confidentiality, Privacy</w:t>
            </w:r>
          </w:p>
        </w:tc>
      </w:tr>
      <w:tr>
        <w:tc>
          <w:tcPr>
            <w:tcW w:type="dxa" w:w="4000"/>
            <w:tcMar>
              <w:top w:type="dxa" w:w="60"/>
              <w:left w:type="dxa" w:w="100"/>
              <w:bottom w:type="dxa" w:w="60"/>
              <w:right w:type="dxa" w:w="100"/>
            </w:tcMar>
          </w:tcPr>
          <w:p>
            <w:pPr>
              <w:spacing w:after="0"/>
            </w:pPr>
            <w:r>
              <w:t xml:space="preserve">System and Organization Controls (SOC) 3 Report</w:t>
            </w:r>
          </w:p>
        </w:tc>
        <w:tc>
          <w:tcPr>
            <w:tcW w:type="dxa" w:w="5354"/>
            <w:tcMar>
              <w:top w:type="dxa" w:w="60"/>
              <w:left w:type="dxa" w:w="100"/>
              <w:bottom w:type="dxa" w:w="60"/>
              <w:right w:type="dxa" w:w="100"/>
            </w:tcMar>
          </w:tcPr>
          <w:p>
            <w:pPr>
              <w:spacing w:after="0"/>
            </w:pPr>
            <w:r>
              <w:t xml:space="preserve">dasselbe Prüfurteil in weitergabefähiger Fassung</w:t>
            </w:r>
          </w:p>
        </w:tc>
      </w:tr>
      <w:tr>
        <w:tc>
          <w:tcPr>
            <w:tcW w:type="dxa" w:w="4000"/>
            <w:tcMar>
              <w:top w:type="dxa" w:w="60"/>
              <w:left w:type="dxa" w:w="100"/>
              <w:bottom w:type="dxa" w:w="60"/>
              <w:right w:type="dxa" w:w="100"/>
            </w:tcMar>
          </w:tcPr>
          <w:p>
            <w:pPr>
              <w:spacing w:after="0"/>
            </w:pPr>
            <w:r>
              <w:t xml:space="preserve">SOC Continued Operations Letter</w:t>
            </w:r>
          </w:p>
        </w:tc>
        <w:tc>
          <w:tcPr>
            <w:tcW w:type="dxa" w:w="5354"/>
            <w:tcMar>
              <w:top w:type="dxa" w:w="60"/>
              <w:left w:type="dxa" w:w="100"/>
              <w:bottom w:type="dxa" w:w="60"/>
              <w:right w:type="dxa" w:w="100"/>
            </w:tcMar>
          </w:tcPr>
          <w:p>
            <w:pPr>
              <w:spacing w:after="0"/>
            </w:pPr>
            <w:r>
              <w:t xml:space="preserve">Fortgeltung der geprüften Kontrollen über den Berichtszeitraum hinaus</w:t>
            </w:r>
          </w:p>
        </w:tc>
      </w:tr>
    </w:tbl>
    <w:p>
      <w:pPr>
        <w:spacing w:after="120"/>
      </w:pPr>
    </w:p>
    <w:p>
      <w:pPr>
        <w:pStyle w:val="Heading1"/>
        <w:spacing w:after="160" w:before="360"/>
      </w:pPr>
      <w:r>
        <w:t xml:space="preserve">3. Was daraus folgt</w:t>
      </w:r>
    </w:p>
    <w:p>
      <w:pPr>
        <w:spacing w:after="120"/>
      </w:pPr>
    </w:p>
    <w:p>
      <w:pPr>
        <w:pStyle w:val="ListParagraph"/>
        <w:numPr>
          <w:ilvl w:val="0"/>
          <w:numId w:val="5"/>
        </w:numPr>
        <w:spacing w:after="100"/>
      </w:pPr>
      <w:r>
        <w:rPr>
          <w:b/>
          <w:bCs/>
        </w:rPr>
        <w:t xml:space="preserve">Für Amazon Textract</w:t>
      </w:r>
      <w:r>
        <w:t xml:space="preserve"> — die Texterkennung gescannter Seiten — ist damit belegt, dass Inhalte weder gespeichert noch zur Entwicklung und Verbesserung der AWS-KI-Dienste verwendet werden. Der Vorbehalt vom 5. Oktober 2026 ist gegenstandslos; die Unterlagen der Kanzlei sind entsprechend berichtigt worden.</w:t>
      </w:r>
    </w:p>
    <w:p>
      <w:pPr>
        <w:pStyle w:val="ListParagraph"/>
        <w:numPr>
          <w:ilvl w:val="0"/>
          <w:numId w:val="5"/>
        </w:numPr>
        <w:spacing w:after="100"/>
      </w:pPr>
      <w:r>
        <w:rPr>
          <w:b/>
          <w:bCs/>
        </w:rPr>
        <w:t xml:space="preserve">Für Amazon Bedrock</w:t>
      </w:r>
      <w:r>
        <w:t xml:space="preserve"> — die Verarbeitung im Sprachmodell — gilt das </w:t>
      </w:r>
      <w:r>
        <w:rPr>
          <w:b/>
          <w:bCs/>
        </w:rPr>
        <w:t xml:space="preserve">nicht aus dieser Richtlinie.</w:t>
      </w:r>
      <w:r>
        <w:t xml:space="preserve"> Die Abmelderichtlinie erfasst Bedrock nicht. Dort trägt die vertragliche Schranke aus Ziffer 1.4 der Kundenvereinbarung.</w:t>
      </w:r>
    </w:p>
    <w:p>
      <w:pPr>
        <w:pStyle w:val="ListParagraph"/>
        <w:numPr>
          <w:ilvl w:val="0"/>
          <w:numId w:val="5"/>
        </w:numPr>
        <w:spacing w:after="100"/>
      </w:pPr>
      <w:r>
        <w:rPr>
          <w:b/>
          <w:bCs/>
        </w:rPr>
        <w:t xml:space="preserve">Die Auswahl des Auftragsverarbeiters</w:t>
      </w:r>
      <w:r>
        <w:t xml:space="preserve"> ist mit den unter 2.4 genannten Nachweisen belegbar. Die Bewertung, ob sie die Anforderungen des § 43e Abs. 2 BRAO tragen, bleibt der Kanzlei vorbehalten.</w:t>
      </w:r>
    </w:p>
    <w:p>
      <w:pPr>
        <w:pStyle w:val="ListParagraph"/>
        <w:numPr>
          <w:ilvl w:val="0"/>
          <w:numId w:val="5"/>
        </w:numPr>
        <w:spacing w:after="100"/>
      </w:pPr>
      <w:r>
        <w:rPr>
          <w:b/>
          <w:bCs/>
        </w:rPr>
        <w:t xml:space="preserve">Nicht belegt und auch nicht behauptet</w:t>
      </w:r>
      <w:r>
        <w:t xml:space="preserve"> ist, dass AWS die Inhalte nicht lesen könne. Bedrock und Textract verarbeiten im Klartext; das ist technisch nicht anders möglich. Es handelt sich um Auftragsverarbeitung nach Art. 28 DSGVO und nicht um einen Vorgang, dem durch Verschlüsselung der Personenbezug genommen wäre.</w:t>
      </w:r>
    </w:p>
    <w:p>
      <w:pPr>
        <w:pStyle w:val="Heading1"/>
        <w:spacing w:after="160" w:before="360"/>
      </w:pPr>
      <w:r>
        <w:t xml:space="preserve">4. Was offen bleibt</w:t>
      </w:r>
    </w:p>
    <w:p>
      <w:pPr>
        <w:spacing w:after="120"/>
      </w:pPr>
      <w:r>
        <w:rPr>
          <w:b/>
          <w:bCs/>
        </w:rPr>
        <w:t xml:space="preserve">Die AWS Service Terms zu Amazon Bedrock. </w:t>
      </w:r>
      <w:r>
        <w:t xml:space="preserve">Sowohl das Data Processing Addendum (Abschnitt 16) als auch die Kundenvereinbarung (Ziffer 11.2) lassen die Service Terms beiden vorgehen. Solange der einschlägige Abschnitt nicht vorliegt, steht die Schranke aus Ziffer 1.4 unter diesem Vorbehalt. Der Abschnitt ist zu beschaffen, mit Datum.</w:t>
      </w:r>
    </w:p>
    <w:p>
      <w:pPr>
        <w:spacing w:after="120"/>
      </w:pPr>
      <w:r>
        <w:t xml:space="preserve">Ferner zur Vervollständigung der Ablage: die englischen Fassungen der beiden übersetzten Stücke, die Standardvertragsklauseln und die Liste der Unterauftragsverarbeiter.</w:t>
      </w:r>
    </w:p>
    <w:p>
      <w:pPr>
        <w:pStyle w:val="Heading1"/>
        <w:spacing w:after="160" w:before="360"/>
      </w:pPr>
      <w:r>
        <w:t xml:space="preserve">5. Umgang mit den Anlagen</w:t>
      </w:r>
    </w:p>
    <w:p>
      <w:pPr>
        <w:spacing w:after="100"/>
      </w:pPr>
      <w:r>
        <w:rPr>
          <w:b/>
          <w:bCs/>
        </w:rPr>
        <w:t xml:space="preserve">Der SOC-2-Bericht ist vertrauliche Information von AWS. </w:t>
      </w:r>
      <w:r>
        <w:t xml:space="preserve">Beim Abruf wurde die zugehörige Vertraulichkeitsvereinbarung angenommen. Daraus folgt:</w:t>
      </w:r>
    </w:p>
    <w:p>
      <w:pPr>
        <w:spacing w:after="120"/>
      </w:pPr>
    </w:p>
    <w:p>
      <w:pPr>
        <w:pStyle w:val="ListParagraph"/>
        <w:numPr>
          <w:ilvl w:val="0"/>
          <w:numId w:val="6"/>
        </w:numPr>
        <w:spacing w:after="100"/>
      </w:pPr>
      <w:r>
        <w:rPr>
          <w:b/>
          <w:bCs/>
        </w:rPr>
        <w:t xml:space="preserve">Keine Auszüge. </w:t>
      </w:r>
      <w:r>
        <w:t xml:space="preserve">Aus dem Bericht darf ohne ausdrückliche schriftliche Zustimmung von AWS nicht zitiert werden — auch nicht in der Folgenabschätzung oder in einem Schriftsatz.</w:t>
      </w:r>
    </w:p>
    <w:p>
      <w:pPr>
        <w:pStyle w:val="ListParagraph"/>
        <w:numPr>
          <w:ilvl w:val="0"/>
          <w:numId w:val="6"/>
        </w:numPr>
        <w:spacing w:after="100"/>
      </w:pPr>
      <w:r>
        <w:rPr>
          <w:b/>
          <w:bCs/>
        </w:rPr>
        <w:t xml:space="preserve">Weitergabe an eine Aufsichtsbehörde ist zulässig</w:t>
      </w:r>
      <w:r>
        <w:t xml:space="preserve">, jedoch nur vollständig und unter ausdrücklichem Antrag auf vertrauliche Behandlung.</w:t>
      </w:r>
    </w:p>
    <w:p>
      <w:pPr>
        <w:pStyle w:val="ListParagraph"/>
        <w:numPr>
          <w:ilvl w:val="0"/>
          <w:numId w:val="6"/>
        </w:numPr>
        <w:spacing w:after="100"/>
      </w:pPr>
      <w:r>
        <w:rPr>
          <w:b/>
          <w:bCs/>
        </w:rPr>
        <w:t xml:space="preserve">An Mandanten ist stattdessen der SOC-3-Bericht zu verwenden.</w:t>
      </w:r>
    </w:p>
    <w:p>
      <w:pPr>
        <w:pStyle w:val="ListParagraph"/>
        <w:numPr>
          <w:ilvl w:val="0"/>
          <w:numId w:val="6"/>
        </w:numPr>
        <w:spacing w:after="100"/>
      </w:pPr>
      <w:r>
        <w:rPr>
          <w:b/>
          <w:bCs/>
        </w:rPr>
        <w:t xml:space="preserve">Über jede Weitergabe ist Buch zu führen</w:t>
      </w:r>
      <w:r>
        <w:t xml:space="preserve"> (Datum, Empfänger, Anlass); AWS kann Einsicht in diese Aufzeichnungen verlangen.</w:t>
      </w:r>
    </w:p>
    <w:p>
      <w:pPr>
        <w:spacing w:after="120" w:before="100"/>
      </w:pPr>
      <w:r>
        <w:t xml:space="preserve">Die Anlagen verbleiben in der Datenschutzakte und werden </w:t>
      </w:r>
      <w:r>
        <w:rPr>
          <w:b/>
          <w:bCs/>
        </w:rPr>
        <w:t xml:space="preserve">nicht</w:t>
      </w:r>
      <w:r>
        <w:t xml:space="preserve"> in den Programmordner von jusperfect übernommen, da dieser weitergegeben wird.</w:t>
      </w:r>
    </w:p>
    <w:p>
      <w:pPr>
        <w:pStyle w:val="Heading1"/>
        <w:spacing w:after="160" w:before="360"/>
      </w:pPr>
      <w:r>
        <w:t xml:space="preserve">6. Wiedervorlage</w:t>
      </w:r>
    </w:p>
    <w:p>
      <w:pPr>
        <w:spacing w:after="120"/>
      </w:pPr>
      <w:r>
        <w:t xml:space="preserve">Die Prüfberichte decken einen Zeitraum ab und veralten. Sie sind im Rahmen der </w:t>
      </w:r>
      <w:r>
        <w:rPr>
          <w:b/>
          <w:bCs/>
        </w:rPr>
        <w:t xml:space="preserve">jährlichen Durchsicht der Datenschutz-Folgenabschätzung</w:t>
      </w:r>
      <w:r>
        <w:t xml:space="preserve"> neu abzurufen. Eine gesonderte Frist wird nicht notiert.</w:t>
      </w:r>
    </w:p>
    <w:p>
      <w:pPr>
        <w:pStyle w:val="Heading1"/>
        <w:spacing w:after="160" w:before="360"/>
      </w:pPr>
      <w:r>
        <w:t xml:space="preserve">7. Anlagen</w:t>
      </w:r>
    </w:p>
    <w:p>
      <w:pPr>
        <w:pStyle w:val="ListParagraph"/>
        <w:numPr>
          <w:ilvl w:val="0"/>
          <w:numId w:val="7"/>
        </w:numPr>
        <w:spacing w:after="60"/>
      </w:pPr>
      <w:r>
        <w:t xml:space="preserve">Bildschirmausdruck: effektive AI-Richtlinie für Konto 579138738703, 14.10.2026, 17:11 Uhr MESZ</w:t>
      </w:r>
    </w:p>
    <w:p>
      <w:pPr>
        <w:pStyle w:val="ListParagraph"/>
        <w:numPr>
          <w:ilvl w:val="0"/>
          <w:numId w:val="7"/>
        </w:numPr>
        <w:spacing w:after="60"/>
      </w:pPr>
      <w:r>
        <w:t xml:space="preserve">Bildschirmausdruck: angewendete Richtlinien am Konto, Quelle „Verknüpft mit Root“</w:t>
      </w:r>
    </w:p>
    <w:p>
      <w:pPr>
        <w:pStyle w:val="ListParagraph"/>
        <w:numPr>
          <w:ilvl w:val="0"/>
          <w:numId w:val="7"/>
        </w:numPr>
        <w:spacing w:after="60"/>
      </w:pPr>
      <w:r>
        <w:t xml:space="preserve">Bildschirmausdruck: Konto- und Organisationsvereinbarungen in AWS Artifact</w:t>
      </w:r>
    </w:p>
    <w:p>
      <w:pPr>
        <w:pStyle w:val="ListParagraph"/>
        <w:numPr>
          <w:ilvl w:val="0"/>
          <w:numId w:val="7"/>
        </w:numPr>
        <w:spacing w:after="60"/>
      </w:pPr>
      <w:r>
        <w:t xml:space="preserve">AWS Data Processing Addendum</w:t>
      </w:r>
    </w:p>
    <w:p>
      <w:pPr>
        <w:pStyle w:val="ListParagraph"/>
        <w:numPr>
          <w:ilvl w:val="0"/>
          <w:numId w:val="7"/>
        </w:numPr>
        <w:spacing w:after="60"/>
      </w:pPr>
      <w:r>
        <w:t xml:space="preserve">AWS-Kundenvereinbarung, Fassung 01.06.2026</w:t>
      </w:r>
    </w:p>
    <w:p>
      <w:pPr>
        <w:pStyle w:val="ListParagraph"/>
        <w:numPr>
          <w:ilvl w:val="0"/>
          <w:numId w:val="7"/>
        </w:numPr>
        <w:spacing w:after="60"/>
      </w:pPr>
      <w:r>
        <w:t xml:space="preserve">AWS-Datenschutzhinweis, Fassung 18.05.2026</w:t>
      </w:r>
    </w:p>
    <w:p>
      <w:pPr>
        <w:pStyle w:val="ListParagraph"/>
        <w:numPr>
          <w:ilvl w:val="0"/>
          <w:numId w:val="7"/>
        </w:numPr>
        <w:spacing w:after="60"/>
      </w:pPr>
      <w:r>
        <w:t xml:space="preserve">ISO 27001:2022 Certification</w:t>
      </w:r>
    </w:p>
    <w:p>
      <w:pPr>
        <w:pStyle w:val="ListParagraph"/>
        <w:numPr>
          <w:ilvl w:val="0"/>
          <w:numId w:val="7"/>
        </w:numPr>
        <w:spacing w:after="60"/>
      </w:pPr>
      <w:r>
        <w:t xml:space="preserve">ISO 27017:2015 Certification</w:t>
      </w:r>
    </w:p>
    <w:p>
      <w:pPr>
        <w:pStyle w:val="ListParagraph"/>
        <w:numPr>
          <w:ilvl w:val="0"/>
          <w:numId w:val="7"/>
        </w:numPr>
        <w:spacing w:after="60"/>
      </w:pPr>
      <w:r>
        <w:t xml:space="preserve">ISO 27018:2019 Certification</w:t>
      </w:r>
    </w:p>
    <w:p>
      <w:pPr>
        <w:pStyle w:val="ListParagraph"/>
        <w:numPr>
          <w:ilvl w:val="0"/>
          <w:numId w:val="7"/>
        </w:numPr>
        <w:spacing w:after="60"/>
      </w:pPr>
      <w:r>
        <w:t xml:space="preserve">ISO/IEC 27701:2019 Certification</w:t>
      </w:r>
    </w:p>
    <w:p>
      <w:pPr>
        <w:pStyle w:val="ListParagraph"/>
        <w:numPr>
          <w:ilvl w:val="0"/>
          <w:numId w:val="7"/>
        </w:numPr>
        <w:spacing w:after="60"/>
      </w:pPr>
      <w:r>
        <w:t xml:space="preserve">SOC 2 Report, Typ 2, Berichtszeitraum 01.04.2025 – 31.03.2026</w:t>
      </w:r>
    </w:p>
    <w:p>
      <w:pPr>
        <w:pStyle w:val="ListParagraph"/>
        <w:numPr>
          <w:ilvl w:val="0"/>
          <w:numId w:val="7"/>
        </w:numPr>
        <w:spacing w:after="60"/>
      </w:pPr>
      <w:r>
        <w:t xml:space="preserve">SOC 3 Report</w:t>
      </w:r>
    </w:p>
    <w:p>
      <w:pPr>
        <w:pStyle w:val="ListParagraph"/>
        <w:numPr>
          <w:ilvl w:val="0"/>
          <w:numId w:val="7"/>
        </w:numPr>
        <w:spacing w:after="60"/>
      </w:pPr>
      <w:r>
        <w:t xml:space="preserve">SOC Continued Operations Letter</w:t>
      </w:r>
    </w:p>
    <w:p>
      <w:pPr>
        <w:pStyle w:val="ListParagraph"/>
        <w:numPr>
          <w:ilvl w:val="0"/>
          <w:numId w:val="7"/>
        </w:numPr>
        <w:spacing w:after="60"/>
      </w:pPr>
      <w:r>
        <w:t xml:space="preserve">Ausdruck der Vertraulichkeitsbedingungen für den Abruf der SOC-Berichte</w:t>
      </w:r>
    </w:p>
    <w:p>
      <w:pPr>
        <w:pBdr>
          <w:bottom w:val="single" w:color="999999" w:sz="6" w:space="8"/>
        </w:pBdr>
        <w:spacing w:after="280" w:before="280"/>
      </w:pPr>
    </w:p>
    <w:p>
      <w:pPr>
        <w:keepNext/>
        <w:spacing w:after="280"/>
      </w:pPr>
      <w:r>
        <w:t xml:space="preserve">Ort, Datum ........................................</w:t>
      </w:r>
    </w:p>
    <w:p>
      <w:pPr>
        <w:spacing w:after="120"/>
      </w:pPr>
      <w:r>
        <w:t xml:space="preserve">Unterschrift ........................................</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decimal"/>
      <w:lvlText w:val="%1."/>
      <w:lvlJc w:val="start"/>
      <w:pPr>
        <w:ind w:left="700" w:hanging="340"/>
      </w:pPr>
    </w:lvl>
  </w:abstractNum>
  <w:abstractNum w:abstractNumId="4" w15:restartNumberingAfterBreak="0">
    <w:multiLevelType w:val="hybridMultilevel"/>
    <w:lvl w:ilvl="0" w15:tentative="1">
      <w:start w:val="1"/>
      <w:numFmt w:val="decimal"/>
      <w:lvlText w:val="%1."/>
      <w:lvlJc w:val="start"/>
      <w:pPr>
        <w:ind w:left="700" w:hanging="340"/>
      </w:pPr>
    </w:lvl>
  </w:abstractNum>
  <w:abstractNum w:abstractNumId="5" w15:restartNumberingAfterBreak="0">
    <w:multiLevelType w:val="hybridMultilevel"/>
    <w:lvl w:ilvl="0" w15:tentative="1">
      <w:start w:val="1"/>
      <w:numFmt w:val="decimal"/>
      <w:lvlText w:val="%1."/>
      <w:lvlJc w:val="start"/>
      <w:pPr>
        <w:ind w:left="700" w:hanging="340"/>
      </w:pPr>
    </w:lvl>
  </w:abstractNum>
  <w:abstractNum w:abstractNumId="6" w15:restartNumberingAfterBreak="0">
    <w:multiLevelType w:val="hybridMultilevel"/>
    <w:lvl w:ilvl="0" w15:tentative="1">
      <w:start w:val="1"/>
      <w:numFmt w:val="decimal"/>
      <w:lvlText w:val="%1."/>
      <w:lvlJc w:val="start"/>
      <w:pPr>
        <w:ind w:left="700" w:hanging="340"/>
      </w:pPr>
    </w:lvl>
  </w:abstractNum>
  <w:abstractNum w:abstractNumId="7" w15:restartNumberingAfterBreak="0">
    <w:multiLevelType w:val="hybridMultilevel"/>
    <w:lvl w:ilvl="0" w15:tentative="1">
      <w:start w:val="1"/>
      <w:numFmt w:val="decimal"/>
      <w:lvlText w:val="%1."/>
      <w:lvlJc w:val="start"/>
      <w:pPr>
        <w:ind w:left="700" w:hanging="340"/>
      </w:pPr>
    </w:lvl>
  </w:abstractNum>
  <w:abstractNum w:abstractNumId="8" w15:restartNumberingAfterBreak="0">
    <w:multiLevelType w:val="hybridMultilevel"/>
    <w:lvl w:ilvl="0" w15:tentative="1">
      <w:start w:val="1"/>
      <w:numFmt w:val="decimal"/>
      <w:lvlText w:val="%1."/>
      <w:lvlJc w:val="start"/>
      <w:pPr>
        <w:ind w:left="700" w:hanging="340"/>
      </w:pPr>
    </w:lvl>
  </w:abstractNum>
  <w:abstractNum w:abstractNumId="9"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4"/>
        <w:szCs w:val="24"/>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40"/>
      <w:szCs w:val="40"/>
    </w:rPr>
  </w:style>
  <w:style w:type="paragraph" w:styleId="Heading1">
    <w:name w:val="Heading 1"/>
    <w:basedOn w:val="Normal"/>
    <w:next w:val="Normal"/>
    <w:qFormat/>
    <w:rPr>
      <w:rFonts w:ascii="Franklin Gothic Book" w:cs="Franklin Gothic Book" w:eastAsia="Franklin Gothic Book" w:hAnsi="Franklin Gothic Book"/>
      <w:b/>
      <w:bCs/>
      <w:color w:val="000000"/>
      <w:sz w:val="28"/>
      <w:szCs w:val="28"/>
    </w:rPr>
  </w:style>
  <w:style w:type="paragraph" w:styleId="Heading2">
    <w:name w:val="Heading 2"/>
    <w:basedOn w:val="Normal"/>
    <w:next w:val="Normal"/>
    <w:qFormat/>
    <w:rPr>
      <w:rFonts w:ascii="Franklin Gothic Book" w:cs="Franklin Gothic Book" w:eastAsia="Franklin Gothic Book" w:hAnsi="Franklin Gothic Book"/>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 AWS — 14.10.2026</dc:title>
  <dc:creator>Kanzlei Dortschy &amp; Thunert</dc:creator>
  <dc:description>Nachweise zum Auftragsverarbeiter Amazon Web Services</dc:description>
  <cp:lastModifiedBy>Un-named</cp:lastModifiedBy>
  <cp:revision>1</cp:revision>
  <dcterms:created xsi:type="dcterms:W3CDTF">2026-10-14T16:53:09.356Z</dcterms:created>
  <dcterms:modified xsi:type="dcterms:W3CDTF">2026-10-14T16:53:09.356Z</dcterms:modified>
</cp:coreProperties>
</file>

<file path=docProps/custom.xml><?xml version="1.0" encoding="utf-8"?>
<Properties xmlns="http://schemas.openxmlformats.org/officeDocument/2006/custom-properties" xmlns:vt="http://schemas.openxmlformats.org/officeDocument/2006/docPropsVTypes"/>
</file>