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r>
        <w:tc>
          <w:tcPr>
            <w:tcW w:type="dxa" w:w="6000"/>
            <w:tcMar>
              <w:top w:type="dxa" w:w="60"/>
              <w:left w:type="dxa" w:w="100"/>
              <w:bottom w:type="dxa" w:w="60"/>
              <w:right w:type="dxa" w:w="100"/>
            </w:tcMar>
          </w:tcPr>
          <w:p>
            <w:pPr>
              <w:spacing w:after="0"/>
            </w:pPr>
            <w:r>
              <w:t xml:space="preserve">AWS Service Terms, Abschnitt 50.12 (Amazon Bedrock)</w:t>
            </w:r>
          </w:p>
        </w:tc>
        <w:tc>
          <w:tcPr>
            <w:tcW w:type="dxa" w:w="3354"/>
            <w:tcMar>
              <w:top w:type="dxa" w:w="60"/>
              <w:left w:type="dxa" w:w="100"/>
              <w:bottom w:type="dxa" w:w="60"/>
              <w:right w:type="dxa" w:w="100"/>
            </w:tcMar>
          </w:tcPr>
          <w:p>
            <w:pPr>
              <w:spacing w:after="0"/>
            </w:pPr>
            <w:r>
              <w:t xml:space="preserve">Stand 15.09.2026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Sechs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pStyle w:val="ListParagraph"/>
        <w:numPr>
          <w:ilvl w:val="0"/>
          <w:numId w:val="4"/>
        </w:numPr>
        <w:spacing w:after="100"/>
      </w:pPr>
      <w:r>
        <w:rPr>
          <w:b/>
          <w:bCs/>
        </w:rPr>
        <w:t xml:space="preserve">Die Service Terms, Abschnitt 50.12, enthalten für Amazon Bedrock keine Erlaubnis, Inhalte zum Training oder zur Verbesserung der Dienste zu verwenden. </w:t>
      </w:r>
      <w:r>
        <w:t xml:space="preserve">Das ist von Bedeutung, weil die Service Terms sowohl dem Auftragsverarbeitungsvertrag (Abschnitt 16) als auch der Kundenvereinbarung (Ziffer 11.2) vorgehen. Die Schranke aus Ziffer 1.4 bleibt damit unangetastet. Dass dieses Schweigen Absicht ist, zeigt der unmittelbar folgende Abschnitt 50.13 zu Amazon Q: Dort nimmt AWS sich das Gegenteil ausdrücklich heraus, einschließlich des Trainierens von Machine-Learning-Modellen, und verweist für den Widerspruch auf die Opt-out-Richtlinie.</w:t>
      </w:r>
    </w:p>
    <w:p>
      <w:pPr>
        <w:pStyle w:val="ListParagraph"/>
        <w:numPr>
          <w:ilvl w:val="0"/>
          <w:numId w:val="4"/>
        </w:numPr>
        <w:spacing w:after="100"/>
      </w:pPr>
      <w:r>
        <w:rPr>
          <w:b/>
          <w:bCs/>
        </w:rPr>
        <w:t xml:space="preserve">Abschnitt 50.12.2 regelt jedoch eine Speicherung. </w:t>
      </w:r>
      <w:r>
        <w:t xml:space="preserve">Für bestimmte, auf einer eigenen Seite von AWS genannte Modelle speichert Amazon Bedrock </w:t>
      </w:r>
      <w:r>
        <w:rPr>
          <w:b/>
          <w:bCs/>
        </w:rPr>
        <w:t xml:space="preserve">Ein- und Ausgaben bis zu 30 Tage</w:t>
      </w:r>
      <w:r>
        <w:t xml:space="preserve"> zum alleinigen Zweck der Erkennung von Verstößen gegen die Nutzungsbedingungen und </w:t>
      </w:r>
      <w:r>
        <w:rPr>
          <w:b/>
          <w:bCs/>
        </w:rPr>
        <w:t xml:space="preserve">überprüft sie im Verdachtsfall</w:t>
      </w:r>
      <w:r>
        <w:t xml:space="preserve">. Der Nachbarabschnitt zu Kiro (50.14.2) spricht dabei von „möglicher menschlicher Überprüfung“. Siehe Abschnitt 4 dieses Vermerks.</w:t>
      </w:r>
    </w:p>
    <w:p>
      <w:pPr>
        <w:pStyle w:val="ListParagraph"/>
        <w:numPr>
          <w:ilvl w:val="0"/>
          <w:numId w:val="4"/>
        </w:numPr>
        <w:spacing w:after="100"/>
      </w:pPr>
      <w:r>
        <w:rPr>
          <w:b/>
          <w:bCs/>
        </w:rPr>
        <w:t xml:space="preserve">Nach Abschnitt 50.12.1 hängt die Rechtslage am gewählten Modell. </w:t>
      </w:r>
      <w:r>
        <w:t xml:space="preserve">Ein Modell eines Drittanbieters aus dem AWS Marketplace brächte dessen eigene Bedingungen mit. Die Modellwahl in jusperfect ist deshalb keine rein technische Einstellung.</w:t>
      </w:r>
    </w:p>
    <w:p>
      <w:pPr>
        <w:spacing w:after="120" w:before="100"/>
      </w:pPr>
      <w:r>
        <w:t xml:space="preserve">Die Kundenvereinbarung, der Datenschutzhinweis und die Service Terms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2"/>
        <w:spacing w:after="120" w:before="280"/>
      </w:pPr>
      <w:r>
        <w:t xml:space="preserve">2.5 Die Missbrauchserkennung bei Amazon Bedrock</w:t>
      </w:r>
    </w:p>
    <w:p>
      <w:pPr>
        <w:spacing w:after="140"/>
      </w:pPr>
      <w:r>
        <w:t xml:space="preserve">Gelesen am 14.10.2026: der Abschnitt „Abuse detection“ des Amazon Bedrock User Guide — die Seite, auf die Abschnitt 50.12.2 der Service Terms verweist — sowie Abschnitt 1.24 der Service Terms. Der User Guide ist Dokumentation und kein Vertrag; AWS kann ihn ohne Ankündigung ändern.</w:t>
      </w:r>
    </w:p>
    <w:p>
      <w:pPr>
        <w:spacing w:after="140"/>
      </w:pPr>
      <w:r>
        <w:rPr>
          <w:b/>
          <w:bCs/>
        </w:rPr>
        <w:t xml:space="preserve">Abschnitt 1.24 betrifft die Kanzlei nicht. </w:t>
      </w:r>
      <w:r>
        <w:t xml:space="preserve">Er regelt andere AWS-Dienste mit eingebauter, von Bedrock betriebener KI-Funktion (genannt werden unter anderem CloudWatch, CodeCatalyst, Connect, Q, SageMaker, Kiro und GuardDuty). jusperfect ruft die Bedrock-Schnittstelle unmittelbar auf und nutzt keinen dieser Dienste.</w:t>
      </w:r>
    </w:p>
    <w:p>
      <w:pPr>
        <w:spacing w:after="120"/>
      </w:pPr>
      <w:r>
        <w:rPr>
          <w:b/>
          <w:bCs/>
        </w:rPr>
        <w:t xml:space="preserve">Die Seite nennt die betroffenen Modelle namentlich: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Modell</w:t>
            </w:r>
          </w:p>
        </w:tc>
        <w:tc>
          <w:tcPr>
            <w:tcW w:type="dxa" w:w="5354"/>
            <w:shd w:fill="EFEFEF" w:color="auto" w:val="clear"/>
            <w:tcMar>
              <w:top w:type="dxa" w:w="60"/>
              <w:left w:type="dxa" w:w="100"/>
              <w:bottom w:type="dxa" w:w="60"/>
              <w:right w:type="dxa" w:w="100"/>
            </w:tcMar>
          </w:tcPr>
          <w:p>
            <w:pPr>
              <w:spacing w:after="0"/>
            </w:pPr>
            <w:r>
              <w:rPr>
                <w:b/>
                <w:bCs/>
              </w:rPr>
              <w:t xml:space="preserve">Was aufbewahrt wird</w:t>
            </w:r>
          </w:p>
        </w:tc>
      </w:tr>
      <w:tr>
        <w:tc>
          <w:tcPr>
            <w:tcW w:type="dxa" w:w="4000"/>
            <w:tcMar>
              <w:top w:type="dxa" w:w="60"/>
              <w:left w:type="dxa" w:w="100"/>
              <w:bottom w:type="dxa" w:w="60"/>
              <w:right w:type="dxa" w:w="100"/>
            </w:tcMar>
          </w:tcPr>
          <w:p>
            <w:pPr>
              <w:spacing w:after="0"/>
            </w:pPr>
            <w:r>
              <w:t xml:space="preserve">OpenAI-Modelle, bis auf vier genannte</w:t>
            </w:r>
          </w:p>
        </w:tc>
        <w:tc>
          <w:tcPr>
            <w:tcW w:type="dxa" w:w="5354"/>
            <w:tcMar>
              <w:top w:type="dxa" w:w="60"/>
              <w:left w:type="dxa" w:w="100"/>
              <w:bottom w:type="dxa" w:w="60"/>
              <w:right w:type="dxa" w:w="100"/>
            </w:tcMar>
          </w:tcPr>
          <w:p>
            <w:pPr>
              <w:spacing w:after="0"/>
            </w:pPr>
            <w:r>
              <w:t xml:space="preserve">vom Klassifikator aufgefallener Verkehr, bis zu 30 Tage</w:t>
            </w:r>
          </w:p>
        </w:tc>
      </w:tr>
      <w:tr>
        <w:tc>
          <w:tcPr>
            <w:tcW w:type="dxa" w:w="4000"/>
            <w:tcMar>
              <w:top w:type="dxa" w:w="60"/>
              <w:left w:type="dxa" w:w="100"/>
              <w:bottom w:type="dxa" w:w="60"/>
              <w:right w:type="dxa" w:w="100"/>
            </w:tcMar>
          </w:tcPr>
          <w:p>
            <w:pPr>
              <w:spacing w:after="0"/>
            </w:pPr>
            <w:r>
              <w:t xml:space="preserve">Anthropic Claude Fable 5 und Claude Fable 5.1</w:t>
            </w:r>
          </w:p>
        </w:tc>
        <w:tc>
          <w:tcPr>
            <w:tcW w:type="dxa" w:w="5354"/>
            <w:tcMar>
              <w:top w:type="dxa" w:w="60"/>
              <w:left w:type="dxa" w:w="100"/>
              <w:bottom w:type="dxa" w:w="60"/>
              <w:right w:type="dxa" w:w="100"/>
            </w:tcMar>
          </w:tcPr>
          <w:p>
            <w:pPr>
              <w:spacing w:after="0"/>
            </w:pPr>
            <w:r>
              <w:t xml:space="preserve">der gesamte Verkehr, bis zu 30 Tage; aufgefallener Verkehr zusätzlich mit möglicher menschlicher Überprüfung durch AWS</w:t>
            </w:r>
          </w:p>
        </w:tc>
      </w:tr>
      <w:tr>
        <w:tc>
          <w:tcPr>
            <w:tcW w:type="dxa" w:w="4000"/>
            <w:tcMar>
              <w:top w:type="dxa" w:w="60"/>
              <w:left w:type="dxa" w:w="100"/>
              <w:bottom w:type="dxa" w:w="60"/>
              <w:right w:type="dxa" w:w="100"/>
            </w:tcMar>
          </w:tcPr>
          <w:p>
            <w:pPr>
              <w:spacing w:after="0"/>
            </w:pPr>
            <w:r>
              <w:t xml:space="preserve">alle übrigen</w:t>
            </w:r>
          </w:p>
        </w:tc>
        <w:tc>
          <w:tcPr>
            <w:tcW w:type="dxa" w:w="5354"/>
            <w:tcMar>
              <w:top w:type="dxa" w:w="60"/>
              <w:left w:type="dxa" w:w="100"/>
              <w:bottom w:type="dxa" w:w="60"/>
              <w:right w:type="dxa" w:w="100"/>
            </w:tcMar>
          </w:tcPr>
          <w:p>
            <w:pPr>
              <w:spacing w:after="0"/>
            </w:pPr>
            <w:r>
              <w:t xml:space="preserve">nichts; es gilt das Zero-Operator-Access-Modell</w:t>
            </w:r>
          </w:p>
        </w:tc>
      </w:tr>
    </w:tbl>
    <w:p>
      <w:pPr>
        <w:spacing w:after="120"/>
      </w:pPr>
    </w:p>
    <w:p>
      <w:pPr>
        <w:spacing w:after="120" w:before="120"/>
      </w:pPr>
      <w:r>
        <w:rPr>
          <w:b/>
          <w:bCs/>
        </w:rPr>
        <w:t xml:space="preserve">Das von jusperfect genutzte Modell anthropic.claude-opus-4-6-v1 steht nicht auf dieser Liste. </w:t>
      </w:r>
      <w:r>
        <w:t xml:space="preserve">Für die Verarbeitung der Kanzlei gilt damit nach dem Stand vom 14.10.2026: </w:t>
      </w:r>
      <w:r>
        <w:rPr>
          <w:b/>
          <w:bCs/>
        </w:rPr>
        <w:t xml:space="preserve">keine Aufbewahrung und keine Überprüfung.</w:t>
      </w:r>
      <w:r>
        <w:t xml:space="preserve"> Die Kanzlei hat am 14.10.2026 bestätigt, dass dieses Modell im Betrieb eingestellt ist.</w:t>
      </w:r>
    </w:p>
    <w:p>
      <w:pPr>
        <w:spacing w:after="100"/>
      </w:pPr>
      <w:r>
        <w:t xml:space="preserve">Drei Angaben derselben Seite gehören dazu:</w:t>
      </w:r>
    </w:p>
    <w:p>
      <w:pPr>
        <w:spacing w:after="120"/>
      </w:pPr>
    </w:p>
    <w:p>
      <w:pPr>
        <w:pStyle w:val="ListParagraph"/>
        <w:numPr>
          <w:ilvl w:val="0"/>
          <w:numId w:val="5"/>
        </w:numPr>
        <w:spacing w:after="100"/>
      </w:pPr>
      <w:r>
        <w:t xml:space="preserve">Würde ein gelistetes Modell genutzt, lägen die aufbewahrten Daten bei regionsübergreifender Inferenz in der jeweiligen Verarbeitungsregion.</w:t>
      </w:r>
    </w:p>
    <w:p>
      <w:pPr>
        <w:pStyle w:val="ListParagraph"/>
        <w:numPr>
          <w:ilvl w:val="0"/>
          <w:numId w:val="5"/>
        </w:numPr>
        <w:spacing w:after="100"/>
      </w:pPr>
      <w:r>
        <w:t xml:space="preserve">Die Erkennung von Darstellungen des Kindesmissbrauchs arbeitet auf Bild-Ein- und -Ausgaben. jusperfect sendet an Bedrock ausschließlich Text.</w:t>
      </w:r>
    </w:p>
    <w:p>
      <w:pPr>
        <w:pStyle w:val="ListParagraph"/>
        <w:numPr>
          <w:ilvl w:val="0"/>
          <w:numId w:val="5"/>
        </w:numPr>
        <w:spacing w:after="100"/>
      </w:pPr>
      <w:r>
        <w:t xml:space="preserve">Aufbewahrtes wird nicht an die Modellanbieter weitergegeben.</w:t>
      </w:r>
    </w:p>
    <w:p>
      <w:pPr>
        <w:pBdr>
          <w:left w:val="single" w:color="888888" w:sz="12" w:space="12"/>
        </w:pBdr>
        <w:spacing w:after="200" w:before="160"/>
        <w:ind w:left="340"/>
      </w:pPr>
      <w:r>
        <w:rPr>
          <w:b/>
          <w:bCs/>
        </w:rPr>
        <w:t xml:space="preserve">Eine Betriebspflicht, die daraus folgt: </w:t>
      </w:r>
      <w:r>
        <w:t xml:space="preserve">Erkennt AWS einen möglichen Verstoß, richtet es Rückfragen an die E-Mail-Adresse des AWS-Kontos und kann den Zugang sperren, wenn keine Antwort erfolgt. Diese Adresse ist zu pflegen und zu lesen.</w:t>
      </w:r>
    </w:p>
    <w:p>
      <w:pPr>
        <w:pStyle w:val="Heading1"/>
        <w:spacing w:after="160" w:before="360"/>
      </w:pPr>
      <w:r>
        <w:t xml:space="preserve">3. Was daraus folgt</w:t>
      </w:r>
    </w:p>
    <w:p>
      <w:pPr>
        <w:spacing w:after="120"/>
      </w:pPr>
    </w:p>
    <w:p>
      <w:pPr>
        <w:pStyle w:val="ListParagraph"/>
        <w:numPr>
          <w:ilvl w:val="0"/>
          <w:numId w:val="6"/>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6"/>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 die durch die Service Terms bestätigt und nicht eingeschränkt wird. Die Aufbewahrung nach Abschnitt 50.12.2 greift für das </w:t>
      </w:r>
      <w:r>
        <w:rPr>
          <w:b/>
          <w:bCs/>
        </w:rPr>
        <w:t xml:space="preserve">genutzte Modell nicht</w:t>
      </w:r>
      <w:r>
        <w:t xml:space="preserve"> (Abschnitt 2.5); für die dort gelisteten Modelle gälte sie.</w:t>
      </w:r>
    </w:p>
    <w:p>
      <w:pPr>
        <w:pStyle w:val="ListParagraph"/>
        <w:numPr>
          <w:ilvl w:val="0"/>
          <w:numId w:val="6"/>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6"/>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00"/>
      </w:pPr>
      <w:r>
        <w:rPr>
          <w:b/>
          <w:bCs/>
        </w:rPr>
        <w:t xml:space="preserve">Drei Punkte zur Missbrauchserkennung</w:t>
      </w:r>
      <w:r>
        <w:t xml:space="preserve">, nachdem die beiden Sachfragen geklärt sind (Abschnitt 2.5):</w:t>
      </w:r>
    </w:p>
    <w:p>
      <w:pPr>
        <w:spacing w:after="120"/>
      </w:pPr>
    </w:p>
    <w:p>
      <w:pPr>
        <w:pStyle w:val="ListParagraph"/>
        <w:numPr>
          <w:ilvl w:val="0"/>
          <w:numId w:val="7"/>
        </w:numPr>
        <w:spacing w:after="100"/>
      </w:pPr>
      <w:r>
        <w:rPr>
          <w:b/>
          <w:bCs/>
        </w:rPr>
        <w:t xml:space="preserve">Die Liste gehört in die jährliche Durchsicht. </w:t>
      </w:r>
      <w:r>
        <w:t xml:space="preserve">Sie ist Dokumentation und kein Vertrag; AWS kann ein Modell aufnehmen, auch das genutzte. Dann änderte sich die Bewertung.</w:t>
      </w:r>
    </w:p>
    <w:p>
      <w:pPr>
        <w:pStyle w:val="ListParagraph"/>
        <w:numPr>
          <w:ilvl w:val="0"/>
          <w:numId w:val="7"/>
        </w:numPr>
        <w:spacing w:after="100"/>
      </w:pPr>
      <w:r>
        <w:rPr>
          <w:b/>
          <w:bCs/>
        </w:rPr>
        <w:t xml:space="preserve">Zwei Hausregeln in die Einweisung: </w:t>
      </w:r>
      <w:r>
        <w:t xml:space="preserve">Für Mandatsakten wird kein Modell verwendet, das auf der Missbrauchserkennungsseite steht, und vor jedem Modellwechsel wird sie angesehen. Die E-Mail-Adresse des AWS-Kontos wird gelesen.</w:t>
      </w:r>
    </w:p>
    <w:p>
      <w:pPr>
        <w:pStyle w:val="ListParagraph"/>
        <w:numPr>
          <w:ilvl w:val="0"/>
          <w:numId w:val="7"/>
        </w:numPr>
        <w:spacing w:after="100"/>
      </w:pPr>
      <w:r>
        <w:rPr>
          <w:b/>
          <w:bCs/>
        </w:rPr>
        <w:t xml:space="preserve">Die Hinweise nach Art. 13 DSGVO: </w:t>
      </w:r>
      <w:r>
        <w:t xml:space="preserve">Nach heutigem Stand ist über eine Aufbewahrung bei Bedrock nichts zu sagen. Ändert sich die Liste, ändert sich das.</w:t>
      </w:r>
    </w:p>
    <w:p>
      <w:pPr>
        <w:spacing w:after="120" w:before="100"/>
      </w:pPr>
      <w:r>
        <w:t xml:space="preserve">Ferner zur Vervollständigung der Ablage: die englischen Fassungen der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8"/>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8"/>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8"/>
        </w:numPr>
        <w:spacing w:after="100"/>
      </w:pPr>
      <w:r>
        <w:rPr>
          <w:b/>
          <w:bCs/>
        </w:rPr>
        <w:t xml:space="preserve">An Mandanten ist stattdessen der SOC-3-Bericht zu verwenden.</w:t>
      </w:r>
    </w:p>
    <w:p>
      <w:pPr>
        <w:pStyle w:val="ListParagraph"/>
        <w:numPr>
          <w:ilvl w:val="0"/>
          <w:numId w:val="8"/>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9"/>
        </w:numPr>
        <w:spacing w:after="60"/>
      </w:pPr>
      <w:r>
        <w:t xml:space="preserve">Bildschirmausdruck: effektive AI-Richtlinie für Konto 579138738703, 14.10.2026, 17:11 Uhr MESZ</w:t>
      </w:r>
    </w:p>
    <w:p>
      <w:pPr>
        <w:pStyle w:val="ListParagraph"/>
        <w:numPr>
          <w:ilvl w:val="0"/>
          <w:numId w:val="9"/>
        </w:numPr>
        <w:spacing w:after="60"/>
      </w:pPr>
      <w:r>
        <w:t xml:space="preserve">Bildschirmausdruck: angewendete Richtlinien am Konto, Quelle „Verknüpft mit Root“</w:t>
      </w:r>
    </w:p>
    <w:p>
      <w:pPr>
        <w:pStyle w:val="ListParagraph"/>
        <w:numPr>
          <w:ilvl w:val="0"/>
          <w:numId w:val="9"/>
        </w:numPr>
        <w:spacing w:after="60"/>
      </w:pPr>
      <w:r>
        <w:t xml:space="preserve">Bildschirmausdruck: Konto- und Organisationsvereinbarungen in AWS Artifact</w:t>
      </w:r>
    </w:p>
    <w:p>
      <w:pPr>
        <w:pStyle w:val="ListParagraph"/>
        <w:numPr>
          <w:ilvl w:val="0"/>
          <w:numId w:val="9"/>
        </w:numPr>
        <w:spacing w:after="60"/>
      </w:pPr>
      <w:r>
        <w:t xml:space="preserve">AWS Data Processing Addendum</w:t>
      </w:r>
    </w:p>
    <w:p>
      <w:pPr>
        <w:pStyle w:val="ListParagraph"/>
        <w:numPr>
          <w:ilvl w:val="0"/>
          <w:numId w:val="9"/>
        </w:numPr>
        <w:spacing w:after="60"/>
      </w:pPr>
      <w:r>
        <w:t xml:space="preserve">AWS-Kundenvereinbarung, Fassung 01.06.2026</w:t>
      </w:r>
    </w:p>
    <w:p>
      <w:pPr>
        <w:pStyle w:val="ListParagraph"/>
        <w:numPr>
          <w:ilvl w:val="0"/>
          <w:numId w:val="9"/>
        </w:numPr>
        <w:spacing w:after="60"/>
      </w:pPr>
      <w:r>
        <w:t xml:space="preserve">AWS-Datenschutzhinweis, Fassung 18.05.2026</w:t>
      </w:r>
    </w:p>
    <w:p>
      <w:pPr>
        <w:pStyle w:val="ListParagraph"/>
        <w:numPr>
          <w:ilvl w:val="0"/>
          <w:numId w:val="9"/>
        </w:numPr>
        <w:spacing w:after="60"/>
      </w:pPr>
      <w:r>
        <w:t xml:space="preserve">ISO 27001:2022 Certification</w:t>
      </w:r>
    </w:p>
    <w:p>
      <w:pPr>
        <w:pStyle w:val="ListParagraph"/>
        <w:numPr>
          <w:ilvl w:val="0"/>
          <w:numId w:val="9"/>
        </w:numPr>
        <w:spacing w:after="60"/>
      </w:pPr>
      <w:r>
        <w:t xml:space="preserve">ISO 27017:2015 Certification</w:t>
      </w:r>
    </w:p>
    <w:p>
      <w:pPr>
        <w:pStyle w:val="ListParagraph"/>
        <w:numPr>
          <w:ilvl w:val="0"/>
          <w:numId w:val="9"/>
        </w:numPr>
        <w:spacing w:after="60"/>
      </w:pPr>
      <w:r>
        <w:t xml:space="preserve">ISO 27018:2019 Certification</w:t>
      </w:r>
    </w:p>
    <w:p>
      <w:pPr>
        <w:pStyle w:val="ListParagraph"/>
        <w:numPr>
          <w:ilvl w:val="0"/>
          <w:numId w:val="9"/>
        </w:numPr>
        <w:spacing w:after="60"/>
      </w:pPr>
      <w:r>
        <w:t xml:space="preserve">ISO/IEC 27701:2019 Certification</w:t>
      </w:r>
    </w:p>
    <w:p>
      <w:pPr>
        <w:pStyle w:val="ListParagraph"/>
        <w:numPr>
          <w:ilvl w:val="0"/>
          <w:numId w:val="9"/>
        </w:numPr>
        <w:spacing w:after="60"/>
      </w:pPr>
      <w:r>
        <w:t xml:space="preserve">SOC 2 Report, Typ 2, Berichtszeitraum 01.04.2025 – 31.03.2026</w:t>
      </w:r>
    </w:p>
    <w:p>
      <w:pPr>
        <w:pStyle w:val="ListParagraph"/>
        <w:numPr>
          <w:ilvl w:val="0"/>
          <w:numId w:val="9"/>
        </w:numPr>
        <w:spacing w:after="60"/>
      </w:pPr>
      <w:r>
        <w:t xml:space="preserve">SOC 3 Report</w:t>
      </w:r>
    </w:p>
    <w:p>
      <w:pPr>
        <w:pStyle w:val="ListParagraph"/>
        <w:numPr>
          <w:ilvl w:val="0"/>
          <w:numId w:val="9"/>
        </w:numPr>
        <w:spacing w:after="60"/>
      </w:pPr>
      <w:r>
        <w:t xml:space="preserve">SOC Continued Operations Letter</w:t>
      </w:r>
    </w:p>
    <w:p>
      <w:pPr>
        <w:pStyle w:val="ListParagraph"/>
        <w:numPr>
          <w:ilvl w:val="0"/>
          <w:numId w:val="9"/>
        </w:numPr>
        <w:spacing w:after="60"/>
      </w:pPr>
      <w:r>
        <w:t xml:space="preserve">Bildschirmausdruck der Vertraulichkeitsbedingungen für den Abruf der SOC-Berichte — vollständiger Ausdruck über die Schaltfläche „Bedingungen ausdrucken“ nachzureichen</w:t>
      </w:r>
    </w:p>
    <w:p>
      <w:pPr>
        <w:pStyle w:val="ListParagraph"/>
        <w:numPr>
          <w:ilvl w:val="0"/>
          <w:numId w:val="9"/>
        </w:numPr>
        <w:spacing w:after="60"/>
      </w:pPr>
      <w:r>
        <w:t xml:space="preserve">Bildschirmausdruck: AWS Service Terms, Stand 15.09.2026, Abschnitt 50.12 (Amazon Bedrock) nebst Abschnitt 50.13 (Amazon Q) zum Vergleich</w:t>
      </w:r>
    </w:p>
    <w:p>
      <w:pPr>
        <w:pStyle w:val="ListParagraph"/>
        <w:numPr>
          <w:ilvl w:val="0"/>
          <w:numId w:val="9"/>
        </w:numPr>
        <w:spacing w:after="60"/>
      </w:pPr>
      <w:r>
        <w:t xml:space="preserve">Bildschirmausdruck: AWS Service Terms, Abschnitt 1.24</w:t>
      </w:r>
    </w:p>
    <w:p>
      <w:pPr>
        <w:pStyle w:val="ListParagraph"/>
        <w:numPr>
          <w:ilvl w:val="0"/>
          <w:numId w:val="9"/>
        </w:numPr>
        <w:spacing w:after="60"/>
      </w:pPr>
      <w:r>
        <w:t xml:space="preserve">Abschrift der Seite „Amazon Bedrock abuse detection“ aus dem Amazon Bedrock User Guide, abgerufen am 14.10.2026 — ein Ausdruck der Seite selbst ist nachzureichen</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decimal"/>
      <w:lvlText w:val="%1."/>
      <w:lvlJc w:val="start"/>
      <w:pPr>
        <w:ind w:left="700" w:hanging="340"/>
      </w:pPr>
    </w:lvl>
  </w:abstractNum>
  <w:abstractNum w:abstractNumId="10" w15:restartNumberingAfterBreak="0">
    <w:multiLevelType w:val="hybridMultilevel"/>
    <w:lvl w:ilvl="0" w15:tentative="1">
      <w:start w:val="1"/>
      <w:numFmt w:val="decimal"/>
      <w:lvlText w:val="%1."/>
      <w:lvlJc w:val="start"/>
      <w:pPr>
        <w:ind w:left="700" w:hanging="340"/>
      </w:pPr>
    </w:lvl>
  </w:abstractNum>
  <w:abstractNum w:abstractNumId="11" w15:restartNumberingAfterBreak="0">
    <w:multiLevelType w:val="hybridMultilevel"/>
    <w:lvl w:ilvl="0" w15:tentative="1">
      <w:start w:val="1"/>
      <w:numFmt w:val="decimal"/>
      <w:lvlText w:val="%1."/>
      <w:lvlJc w:val="start"/>
      <w:pPr>
        <w:ind w:left="700" w:hanging="340"/>
      </w:pPr>
    </w:lvl>
  </w:abstractNum>
  <w:abstractNum w:abstractNumId="12" w15:restartNumberingAfterBreak="0">
    <w:multiLevelType w:val="hybridMultilevel"/>
    <w:lvl w:ilvl="0" w15:tentative="1">
      <w:start w:val="1"/>
      <w:numFmt w:val="decimal"/>
      <w:lvlText w:val="%1."/>
      <w:lvlJc w:val="start"/>
      <w:pPr>
        <w:ind w:left="700" w:hanging="340"/>
      </w:pPr>
    </w:lvl>
  </w:abstractNum>
  <w:abstractNum w:abstractNumId="1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2026-10-14T17:58:13.463Z</dcterms:created>
  <dcterms:modified xsi:type="dcterms:W3CDTF">2026-10-14T17:58:13.463Z</dcterms:modified>
</cp:coreProperties>
</file>

<file path=docProps/custom.xml><?xml version="1.0" encoding="utf-8"?>
<Properties xmlns="http://schemas.openxmlformats.org/officeDocument/2006/custom-properties" xmlns:vt="http://schemas.openxmlformats.org/officeDocument/2006/docPropsVTypes"/>
</file>