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28"/>
          <w:szCs w:val="28"/>
        </w:rPr>
        <w:t xml:space="preserve">Anlage 1</w:t>
      </w:r>
    </w:p>
    <w:p>
      <w:pPr>
        <w:pBdr>
          <w:bottom w:val="single" w:color="999999" w:sz="6" w:space="8"/>
        </w:pBdr>
        <w:spacing w:after="240"/>
      </w:pPr>
      <w:r>
        <w:rPr>
          <w:sz w:val="24"/>
          <w:szCs w:val="24"/>
        </w:rPr>
        <w:t xml:space="preserve">Effektive AI-Richtlinie für das Konto 579138738703</w:t>
      </w:r>
    </w:p>
    <w:p>
      <w:pPr>
        <w:spacing w:after="240" w:before="200" w:line="240" w:lineRule="auto"/>
      </w:pPr>
      <w:r>
        <w:drawing>
          <wp:inline distT="0" distB="0" distL="0" distR="0">
            <wp:extent cx="61245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24575" cy="4352925"/>
                    </a:xfrm>
                    <a:prstGeom prst="rect">
                      <a:avLst/>
                    </a:prstGeom>
                  </pic:spPr>
                </pic:pic>
              </a:graphicData>
            </a:graphic>
          </wp:inline>
        </w:drawing>
      </w:r>
    </w:p>
    <w:p>
      <w:pPr>
        <w:spacing w:before="120"/>
      </w:pPr>
      <w:r>
        <w:rPr>
          <w:i/>
          <w:iCs/>
          <w:sz w:val="20"/>
          <w:szCs w:val="20"/>
        </w:rPr>
        <w:t xml:space="preserve">AWS Organizations, Reiter „Richtlinien“ des Kontos, Ansicht „Effektive AI-Richtlinie“. Stand der Richtlinie laut Anzeige: 14.10.2026, 17:11:54 Uhr MESZ. Keine Validierungsprobleme.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2</w:t>
      </w:r>
    </w:p>
    <w:p>
      <w:pPr>
        <w:pBdr>
          <w:bottom w:val="single" w:color="999999" w:sz="6" w:space="8"/>
        </w:pBdr>
        <w:spacing w:after="240"/>
      </w:pPr>
      <w:r>
        <w:rPr>
          <w:sz w:val="24"/>
          <w:szCs w:val="24"/>
        </w:rPr>
        <w:t xml:space="preserve">Angewendete Richtlinien am Konto — Quelle „Verknüpft mit Root“</w:t>
      </w:r>
    </w:p>
    <w:p>
      <w:pPr>
        <w:spacing w:after="240" w:before="200" w:line="240" w:lineRule="auto"/>
      </w:pPr>
      <w:r>
        <w:drawing>
          <wp:inline distT="0" distB="0" distL="0" distR="0">
            <wp:extent cx="612457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257550"/>
                    </a:xfrm>
                    <a:prstGeom prst="rect">
                      <a:avLst/>
                    </a:prstGeom>
                  </pic:spPr>
                </pic:pic>
              </a:graphicData>
            </a:graphic>
          </wp:inline>
        </w:drawing>
      </w:r>
    </w:p>
    <w:p>
      <w:pPr>
        <w:spacing w:before="120"/>
      </w:pPr>
      <w:r>
        <w:rPr>
          <w:i/>
          <w:iCs/>
          <w:sz w:val="20"/>
          <w:szCs w:val="20"/>
        </w:rPr>
        <w:t xml:space="preserve">AWS Organizations, Konto 579138738703, Abschnitt „Abmelderichtlinien für KI-Services“. Die Richtlinie jusperfect-keine-ki-nutzung ist dem Konto über die Stammorganisation zugeordnet.</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2a</w:t>
      </w:r>
    </w:p>
    <w:p>
      <w:pPr>
        <w:pBdr>
          <w:bottom w:val="single" w:color="999999" w:sz="6" w:space="8"/>
        </w:pBdr>
        <w:spacing w:after="240"/>
      </w:pPr>
      <w:r>
        <w:rPr>
          <w:sz w:val="24"/>
          <w:szCs w:val="24"/>
        </w:rPr>
        <w:t xml:space="preserve">Die Richtlinie jusperfect-keine-ki-nutzung und ihr Inhalt</w:t>
      </w:r>
    </w:p>
    <w:p>
      <w:pPr>
        <w:spacing w:after="240" w:before="200" w:line="240" w:lineRule="auto"/>
      </w:pPr>
      <w:r>
        <w:drawing>
          <wp:inline distT="0" distB="0" distL="0" distR="0">
            <wp:extent cx="6124575"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4714875"/>
                    </a:xfrm>
                    <a:prstGeom prst="rect">
                      <a:avLst/>
                    </a:prstGeom>
                  </pic:spPr>
                </pic:pic>
              </a:graphicData>
            </a:graphic>
          </wp:inline>
        </w:drawing>
      </w:r>
    </w:p>
    <w:p>
      <w:pPr>
        <w:spacing w:before="120"/>
      </w:pPr>
      <w:r>
        <w:rPr>
          <w:i/>
          <w:iCs/>
          <w:sz w:val="20"/>
          <w:szCs w:val="20"/>
        </w:rPr>
        <w:t xml:space="preserve">Bestätigung der Zuordnung an das Stammverzeichnis sowie der Richtlinieninhalt (services/default/opt_out_policy = optOut).</w:t>
      </w:r>
    </w:p>
    <w:p>
      <w:pPr>
        <w:spacing w:before="80"/>
      </w:pPr>
      <w:r>
        <w:rPr>
          <w:color w:val="666666"/>
          <w:sz w:val="18"/>
          <w:szCs w:val="18"/>
        </w:rPr>
        <w:t xml:space="preserve">Bildschirmausdruck vom 14.10.2026, Kanzlei Dortschy &amp; Thunert — Anlage zum Aktenvermerk gleichen Datums.</w:t>
      </w:r>
    </w:p>
    <w:p>
      <w:pPr>
        <w:sectPr>
          <w:pgSz w:w="11906" w:h="16838" w:orient="portrait"/>
          <w:pgMar w:top="1134" w:right="1134" w:bottom="1134" w:left="1134" w:header="708" w:footer="708" w:gutter="0"/>
          <w:pgNumType/>
          <w:docGrid w:linePitch="360"/>
        </w:sectPr>
      </w:pPr>
    </w:p>
    <w:p>
      <w:pPr>
        <w:spacing w:after="80"/>
      </w:pPr>
      <w:r>
        <w:rPr>
          <w:b/>
          <w:bCs/>
          <w:sz w:val="28"/>
          <w:szCs w:val="28"/>
        </w:rPr>
        <w:t xml:space="preserve">Anlage 3</w:t>
      </w:r>
    </w:p>
    <w:p>
      <w:pPr>
        <w:pBdr>
          <w:bottom w:val="single" w:color="999999" w:sz="6" w:space="8"/>
        </w:pBdr>
        <w:spacing w:after="240"/>
      </w:pPr>
      <w:r>
        <w:rPr>
          <w:sz w:val="24"/>
          <w:szCs w:val="24"/>
        </w:rPr>
        <w:t xml:space="preserve">Kontovereinbarungen in AWS Artifact (Blatt 1 von 3)</w:t>
      </w:r>
    </w:p>
    <w:p>
      <w:pPr>
        <w:spacing w:after="240" w:before="200" w:line="240" w:lineRule="auto"/>
      </w:pPr>
      <w:r>
        <w:drawing>
          <wp:inline distT="0" distB="0" distL="0" distR="0">
            <wp:extent cx="9248775"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248775" cy="3667125"/>
                    </a:xfrm>
                    <a:prstGeom prst="rect">
                      <a:avLst/>
                    </a:prstGeom>
                  </pic:spPr>
                </pic:pic>
              </a:graphicData>
            </a:graphic>
          </wp:inline>
        </w:drawing>
      </w:r>
    </w:p>
    <w:p>
      <w:pPr>
        <w:spacing w:before="120"/>
      </w:pPr>
      <w:r>
        <w:rPr>
          <w:i/>
          <w:iCs/>
          <w:sz w:val="20"/>
          <w:szCs w:val="20"/>
        </w:rPr>
        <w:t xml:space="preserve">Zehn Einträge, sämtlich inaktiv. Der Hinweis oben betrifft die am 14.10.2026 angelegte Organisation. Keine der Vereinbarungen ist für die Kanzlei einschlägig; keine wurde angenommen.</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Kontovereinbarungen in AWS Artifact (Blatt 2 von 3)</w:t>
      </w:r>
    </w:p>
    <w:p>
      <w:pPr>
        <w:spacing w:after="240" w:before="200" w:line="240" w:lineRule="auto"/>
      </w:pPr>
      <w:r>
        <w:drawing>
          <wp:inline distT="0" distB="0" distL="0" distR="0">
            <wp:extent cx="924877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248775" cy="3752850"/>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Kontovereinbarungen in AWS Artifact (Blatt 3 von 3)</w:t>
      </w:r>
    </w:p>
    <w:p>
      <w:pPr>
        <w:spacing w:after="240" w:before="200" w:line="240" w:lineRule="auto"/>
      </w:pPr>
      <w:r>
        <w:drawing>
          <wp:inline distT="0" distB="0" distL="0" distR="0">
            <wp:extent cx="9248775"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248775" cy="3857625"/>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Organisationsvereinbarungen in AWS Artifact (Blatt 1 von 3)</w:t>
      </w:r>
    </w:p>
    <w:p>
      <w:pPr>
        <w:spacing w:after="240" w:before="200" w:line="240" w:lineRule="auto"/>
      </w:pPr>
      <w:r>
        <w:drawing>
          <wp:inline distT="0" distB="0" distL="0" distR="0">
            <wp:extent cx="92487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248775" cy="3019425"/>
                    </a:xfrm>
                    <a:prstGeom prst="rect">
                      <a:avLst/>
                    </a:prstGeom>
                  </pic:spPr>
                </pic:pic>
              </a:graphicData>
            </a:graphic>
          </wp:inline>
        </w:drawing>
      </w:r>
    </w:p>
    <w:p>
      <w:pPr>
        <w:spacing w:before="120"/>
      </w:pPr>
      <w:r>
        <w:rPr>
          <w:i/>
          <w:iCs/>
          <w:sz w:val="20"/>
          <w:szCs w:val="20"/>
        </w:rPr>
        <w:t xml:space="preserve">Fünf Einträge, sämtlich inaktiv. Auch hier ist keine Vereinbarung einschlägig oder angenommen.</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Organisationsvereinbarungen in AWS Artifact (Blatt 2 von 3)</w:t>
      </w:r>
    </w:p>
    <w:p>
      <w:pPr>
        <w:spacing w:after="240" w:before="200" w:line="240" w:lineRule="auto"/>
      </w:pPr>
      <w:r>
        <w:drawing>
          <wp:inline distT="0" distB="0" distL="0" distR="0">
            <wp:extent cx="9248775"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248775" cy="2771775"/>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Organisationsvereinbarungen in AWS Artifact (Blatt 3 von 3)</w:t>
      </w:r>
    </w:p>
    <w:p>
      <w:pPr>
        <w:spacing w:after="240" w:before="200" w:line="240" w:lineRule="auto"/>
      </w:pPr>
      <w:r>
        <w:drawing>
          <wp:inline distT="0" distB="0" distL="0" distR="0">
            <wp:extent cx="85344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34400" cy="4324350"/>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pPr>
        <w:sectPr>
          <w:pgSz w:w="16838" w:h="11906" w:orient="landscape"/>
          <w:pgMar w:top="1134" w:right="1134" w:bottom="1134" w:left="1134" w:header="708" w:footer="708" w:gutter="0"/>
          <w:pgNumType/>
          <w:docGrid w:linePitch="360"/>
        </w:sectPr>
      </w:pPr>
    </w:p>
    <w:p>
      <w:pPr>
        <w:spacing w:after="80"/>
      </w:pPr>
      <w:r>
        <w:rPr>
          <w:b/>
          <w:bCs/>
          <w:sz w:val="28"/>
          <w:szCs w:val="28"/>
        </w:rPr>
        <w:t xml:space="preserve">Anlage 14</w:t>
      </w:r>
    </w:p>
    <w:p>
      <w:pPr>
        <w:pBdr>
          <w:bottom w:val="single" w:color="999999" w:sz="6" w:space="8"/>
        </w:pBdr>
        <w:spacing w:after="240"/>
      </w:pPr>
      <w:r>
        <w:rPr>
          <w:sz w:val="24"/>
          <w:szCs w:val="24"/>
        </w:rPr>
        <w:t xml:space="preserve">Vertraulichkeitsbedingungen für den Abruf der SOC-Berichte</w:t>
      </w:r>
    </w:p>
    <w:p>
      <w:pPr>
        <w:spacing w:after="240" w:before="200" w:line="240" w:lineRule="auto"/>
      </w:pPr>
      <w:r>
        <w:drawing>
          <wp:inline distT="0" distB="0" distL="0" distR="0">
            <wp:extent cx="6124575" cy="620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6200775"/>
                    </a:xfrm>
                    <a:prstGeom prst="rect">
                      <a:avLst/>
                    </a:prstGeom>
                  </pic:spPr>
                </pic:pic>
              </a:graphicData>
            </a:graphic>
          </wp:inline>
        </w:drawing>
      </w:r>
    </w:p>
    <w:p>
      <w:pPr>
        <w:spacing w:before="120"/>
      </w:pPr>
      <w:r>
        <w:rPr>
          <w:i/>
          <w:iCs/>
          <w:sz w:val="20"/>
          <w:szCs w:val="20"/>
        </w:rPr>
        <w:t xml:space="preserve">Der Dialog „Bedingungen zum Herunterladen des Berichts akzeptieren“, wie er beim Abruf des ersten SOC-Berichts angezeigt wurde. Ob der sichtbare Text vollständig ist, lässt sich an der Aufnahme nicht abschließend feststellen (Bildlaufleiste rechts). Der maßgebliche Wortlaut ist über die Schaltfläche „Bedingungen ausdrucken“ zu beziehen und dieser Anlage nachzureichen.</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15</w:t>
      </w:r>
    </w:p>
    <w:p>
      <w:pPr>
        <w:pBdr>
          <w:bottom w:val="single" w:color="999999" w:sz="6" w:space="8"/>
        </w:pBdr>
        <w:spacing w:after="240"/>
      </w:pPr>
      <w:r>
        <w:rPr>
          <w:sz w:val="24"/>
          <w:szCs w:val="24"/>
        </w:rPr>
        <w:t xml:space="preserve">AWS Service Terms — Stand der Fassung</w:t>
      </w:r>
    </w:p>
    <w:p>
      <w:pPr>
        <w:spacing w:after="240" w:before="200" w:line="240" w:lineRule="auto"/>
      </w:pPr>
      <w:r>
        <w:drawing>
          <wp:inline distT="0" distB="0" distL="0" distR="0">
            <wp:extent cx="612457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1333500"/>
                    </a:xfrm>
                    <a:prstGeom prst="rect">
                      <a:avLst/>
                    </a:prstGeom>
                  </pic:spPr>
                </pic:pic>
              </a:graphicData>
            </a:graphic>
          </wp:inline>
        </w:drawing>
      </w:r>
    </w:p>
    <w:p>
      <w:pPr>
        <w:spacing w:before="120"/>
      </w:pPr>
      <w:r>
        <w:rPr>
          <w:i/>
          <w:iCs/>
          <w:sz w:val="20"/>
          <w:szCs w:val="20"/>
        </w:rPr>
        <w:t xml:space="preserve">Kopf der Seite mit dem Stand der Fassung: 15. September 2026. Die Service Terms gehen nach Abschnitt 16 des Data Processing Addendum und Ziffer 11.2 der Kundenvereinbarung beiden vor.</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15</w:t>
      </w:r>
    </w:p>
    <w:p>
      <w:pPr>
        <w:pBdr>
          <w:bottom w:val="single" w:color="999999" w:sz="6" w:space="8"/>
        </w:pBdr>
        <w:spacing w:after="240"/>
      </w:pPr>
      <w:r>
        <w:rPr>
          <w:sz w:val="24"/>
          <w:szCs w:val="24"/>
        </w:rPr>
        <w:t xml:space="preserve">Abschnitt 50.12 Amazon Bedrock (Blatt 1 von 4)</w:t>
      </w:r>
    </w:p>
    <w:p>
      <w:pPr>
        <w:spacing w:after="240" w:before="200" w:line="240" w:lineRule="auto"/>
      </w:pPr>
      <w:r>
        <w:drawing>
          <wp:inline distT="0" distB="0" distL="0" distR="0">
            <wp:extent cx="61245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5143500"/>
                    </a:xfrm>
                    <a:prstGeom prst="rect">
                      <a:avLst/>
                    </a:prstGeom>
                  </pic:spPr>
                </pic:pic>
              </a:graphicData>
            </a:graphic>
          </wp:inline>
        </w:drawing>
      </w:r>
    </w:p>
    <w:p>
      <w:pPr>
        <w:spacing w:before="120"/>
      </w:pPr>
      <w:r>
        <w:rPr>
          <w:i/>
          <w:iCs/>
          <w:sz w:val="20"/>
          <w:szCs w:val="20"/>
        </w:rPr>
        <w:t xml:space="preserve">50.12.1 Modelle von Drittanbietern; 50.12.2 Erkennung von Missbrauch — Speicherung von Ein- und Ausgaben bis zu 30 Tage für bestimmte Modelle, mit Überprüfung im Verdachtsfall; 50.12.3 Durchsatzverpflichtungen.</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15</w:t>
      </w:r>
    </w:p>
    <w:p>
      <w:pPr>
        <w:pBdr>
          <w:bottom w:val="single" w:color="999999" w:sz="6" w:space="8"/>
        </w:pBdr>
        <w:spacing w:after="240"/>
      </w:pPr>
      <w:r>
        <w:rPr>
          <w:sz w:val="24"/>
          <w:szCs w:val="24"/>
        </w:rPr>
        <w:t xml:space="preserve">Abschnitt 50.12 Amazon Bedrock (Blatt 2 von 4)</w:t>
      </w:r>
    </w:p>
    <w:p>
      <w:pPr>
        <w:spacing w:after="240" w:before="200" w:line="240" w:lineRule="auto"/>
      </w:pPr>
      <w:r>
        <w:drawing>
          <wp:inline distT="0" distB="0" distL="0" distR="0">
            <wp:extent cx="5572125" cy="683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72125" cy="6838950"/>
                    </a:xfrm>
                    <a:prstGeom prst="rect">
                      <a:avLst/>
                    </a:prstGeom>
                  </pic:spPr>
                </pic:pic>
              </a:graphicData>
            </a:graphic>
          </wp:inline>
        </w:drawing>
      </w:r>
    </w:p>
    <w:p>
      <w:pPr>
        <w:spacing w:before="120"/>
      </w:pPr>
      <w:r>
        <w:rPr>
          <w:i/>
          <w:iCs/>
          <w:sz w:val="20"/>
          <w:szCs w:val="20"/>
        </w:rPr>
        <w:t xml:space="preserve">50.12.4 bis 50.12.6; anschließend 50.13 Amazon Q. Der Vergleich ist der Grund, warum dieses Blatt dabei ist: Für Amazon Q nimmt AWS sich die Nutzung zur Verbesserung ausdrücklich heraus — für Bedrock an keiner Stelle.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15</w:t>
      </w:r>
    </w:p>
    <w:p>
      <w:pPr>
        <w:pBdr>
          <w:bottom w:val="single" w:color="999999" w:sz="6" w:space="8"/>
        </w:pBdr>
        <w:spacing w:after="240"/>
      </w:pPr>
      <w:r>
        <w:rPr>
          <w:sz w:val="24"/>
          <w:szCs w:val="24"/>
        </w:rPr>
        <w:t xml:space="preserve">Abschnitt 50.13 Amazon Q zum Vergleich (Blatt 3 von 4)</w:t>
      </w:r>
    </w:p>
    <w:p>
      <w:pPr>
        <w:spacing w:after="240" w:before="200" w:line="240" w:lineRule="auto"/>
      </w:pPr>
      <w:r>
        <w:drawing>
          <wp:inline distT="0" distB="0" distL="0" distR="0">
            <wp:extent cx="6124575"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238500"/>
                    </a:xfrm>
                    <a:prstGeom prst="rect">
                      <a:avLst/>
                    </a:prstGeom>
                  </pic:spPr>
                </pic:pic>
              </a:graphicData>
            </a:graphic>
          </wp:inline>
        </w:drawing>
      </w:r>
    </w:p>
    <w:p>
      <w:pPr>
        <w:spacing w:before="120"/>
      </w:pPr>
      <w:r>
        <w:rPr>
          <w:i/>
          <w:iCs/>
          <w:sz w:val="20"/>
          <w:szCs w:val="20"/>
        </w:rPr>
        <w:t xml:space="preserve">50.13.1 bis 50.13.3: Nutzung zur Entwicklung und Verbesserung, ausdrücklich einschließlich des „Trainieren[s] von Machine-Learning-Modellen“, und Verweis auf die Opt-out-Richtlinie für den Widerspruch. Das rechts eingeblendete Menü des Anzeigeprogramms gehört nicht zum Vertragstext.</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15</w:t>
      </w:r>
    </w:p>
    <w:p>
      <w:pPr>
        <w:pBdr>
          <w:bottom w:val="single" w:color="999999" w:sz="6" w:space="8"/>
        </w:pBdr>
        <w:spacing w:after="240"/>
      </w:pPr>
      <w:r>
        <w:rPr>
          <w:sz w:val="24"/>
          <w:szCs w:val="24"/>
        </w:rPr>
        <w:t xml:space="preserve">Abschnitt 50.14.2 Kiro (Blatt 4 von 4)</w:t>
      </w:r>
    </w:p>
    <w:p>
      <w:pPr>
        <w:spacing w:after="240" w:before="200" w:line="240" w:lineRule="auto"/>
      </w:pPr>
      <w:r>
        <w:drawing>
          <wp:inline distT="0" distB="0" distL="0" distR="0">
            <wp:extent cx="6124575"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4514850"/>
                    </a:xfrm>
                    <a:prstGeom prst="rect">
                      <a:avLst/>
                    </a:prstGeom>
                  </pic:spPr>
                </pic:pic>
              </a:graphicData>
            </a:graphic>
          </wp:inline>
        </w:drawing>
      </w:r>
    </w:p>
    <w:p>
      <w:pPr>
        <w:spacing w:before="120"/>
      </w:pPr>
      <w:r>
        <w:rPr>
          <w:i/>
          <w:iCs/>
          <w:sz w:val="20"/>
          <w:szCs w:val="20"/>
        </w:rPr>
        <w:t xml:space="preserve">Die Bestimmung verweist auf Abschnitt 1.24 der Service Terms und spricht von der Speicherung und „möglichen menschlichen Überprüfung von Eingaben und Ausgaben“ durch die Missbrauchserkennungsmechanismen von Amazon Bedrock. Abschnitt 1.24 liegt noch nicht vor.</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16</w:t>
      </w:r>
    </w:p>
    <w:p>
      <w:pPr>
        <w:pBdr>
          <w:bottom w:val="single" w:color="999999" w:sz="6" w:space="8"/>
        </w:pBdr>
        <w:spacing w:after="240"/>
      </w:pPr>
      <w:r>
        <w:rPr>
          <w:sz w:val="24"/>
          <w:szCs w:val="24"/>
        </w:rPr>
        <w:t xml:space="preserve">AWS Service Terms, Abschnitt 1.24</w:t>
      </w:r>
    </w:p>
    <w:p>
      <w:pPr>
        <w:spacing w:after="240" w:before="200" w:line="240" w:lineRule="auto"/>
      </w:pPr>
      <w:r>
        <w:drawing>
          <wp:inline distT="0" distB="0" distL="0" distR="0">
            <wp:extent cx="6124575" cy="570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5705475"/>
                    </a:xfrm>
                    <a:prstGeom prst="rect">
                      <a:avLst/>
                    </a:prstGeom>
                  </pic:spPr>
                </pic:pic>
              </a:graphicData>
            </a:graphic>
          </wp:inline>
        </w:drawing>
      </w:r>
    </w:p>
    <w:p>
      <w:pPr>
        <w:spacing w:before="120"/>
      </w:pPr>
      <w:r>
        <w:rPr>
          <w:i/>
          <w:iCs/>
          <w:sz w:val="20"/>
          <w:szCs w:val="20"/>
        </w:rPr>
        <w:t xml:space="preserve">Abschnitt 1.24 regelt AWS-Dienste mit eingebauter, von Amazon Bedrock betriebener KI-Funktion (CloudWatch, CodeCatalyst, Connect, Q, SageMaker, Kiro, GuardDuty und weitere). 1.24.1 erklärt die Missbrauchserkennungsmechanismen von Bedrock für diese Dienste für anwendbar, 1.24.2 nennt die regionsübergreifende Inferenz. jusperfect nutzt keinen dieser Dienste, sondern ruft die Bedrock-Schnittstelle unmittelbar auf.</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17</w:t>
      </w:r>
    </w:p>
    <w:p>
      <w:pPr>
        <w:pBdr>
          <w:bottom w:val="single" w:color="999999" w:sz="6" w:space="8"/>
        </w:pBdr>
        <w:spacing w:after="240"/>
      </w:pPr>
      <w:r>
        <w:rPr>
          <w:sz w:val="24"/>
          <w:szCs w:val="24"/>
        </w:rPr>
        <w:t xml:space="preserve">Amazon Bedrock abuse detection — Wortlaut der Seite</w:t>
      </w:r>
    </w:p>
    <w:p>
      <w:pPr>
        <w:pBdr>
          <w:bottom w:val="single" w:color="999999" w:sz="6" w:space="10"/>
        </w:pBdr>
        <w:spacing w:after="280"/>
      </w:pPr>
      <w:r>
        <w:rPr>
          <w:i/>
          <w:iCs/>
          <w:sz w:val="20"/>
          <w:szCs w:val="20"/>
        </w:rPr>
        <w:t xml:space="preserve">DIES IST EINE ABSCHRIFT UND KEIN BILDSCHIRMAUSDRUCK. Der Wortlaut ist unverändert übernommen; Hervorhebungen, Verweise und die Gliederung der Urfassung sind nicht wiedergegeben. Ein Ausdruck der Seite selbst ist nachzureichen. — Das von der Kanzlei genutzte Modell anthropic.claude-opus-4-6-v1 ist in keiner der drei Aufzählungen genannt; für es gilt damit das Zero-Operator-Access-Modell.</w:t>
      </w:r>
    </w:p>
    <w:p>
      <w:pPr>
        <w:spacing w:after="100" w:before="200"/>
      </w:pPr>
      <w:r>
        <w:rPr>
          <w:b/>
          <w:bCs/>
          <w:sz w:val="21"/>
          <w:szCs w:val="21"/>
        </w:rPr>
        <w:t xml:space="preserve">Amazon Bedrock abuse detection</w:t>
      </w:r>
    </w:p>
    <w:p>
      <w:pPr>
        <w:spacing w:after="100"/>
      </w:pPr>
      <w:r>
        <w:rPr>
          <w:sz w:val="18"/>
          <w:szCs w:val="18"/>
        </w:rPr>
        <w:t xml:space="preserve">You are responsible for your (and your end users') data input into, and content generated using, Amazon Bedrock. As part of providing the Service, Amazon Bedrock may use automated abuse detection mechanisms to detect activity that violates our, or third-party model providers', terms of service or use policies. In certain limited circumstances described below, we may also store or review model inputs or outputs. Amazon Bedrock uses a zero operator access (ZOA) data security model, subject to the model-specific abuse and CSAM detection detailed below.</w:t>
      </w:r>
    </w:p>
    <w:p>
      <w:pPr>
        <w:spacing w:after="100" w:before="200"/>
      </w:pPr>
      <w:r>
        <w:rPr>
          <w:b/>
          <w:bCs/>
          <w:sz w:val="21"/>
          <w:szCs w:val="21"/>
        </w:rPr>
        <w:t xml:space="preserve">Model-specific abuse detection</w:t>
      </w:r>
    </w:p>
    <w:p>
      <w:pPr>
        <w:spacing w:after="100"/>
      </w:pPr>
      <w:r>
        <w:rPr>
          <w:sz w:val="18"/>
          <w:szCs w:val="18"/>
        </w:rPr>
        <w:t xml:space="preserve">For abuse detection purposes related to the following models, we will store inputs and outputs as follows:</w:t>
      </w:r>
    </w:p>
    <w:p>
      <w:pPr>
        <w:spacing w:after="100"/>
        <w:ind w:left="340" w:hanging="220"/>
      </w:pPr>
      <w:r>
        <w:rPr>
          <w:sz w:val="18"/>
          <w:szCs w:val="18"/>
        </w:rPr>
        <w:t xml:space="preserve">•  For all OpenAI models other than GPT OSS Safeguard 120B, GPT OSS Safeguard 20B, gpt-oss-120b, and gpt-oss-20b, classifier-flagged traffic will be retained for up to 30 days for automated offline abuse detection. Eligible customers may request full ZDR through their AWS account team.</w:t>
      </w:r>
    </w:p>
    <w:p>
      <w:pPr>
        <w:spacing w:after="100"/>
        <w:ind w:left="340" w:hanging="220"/>
      </w:pPr>
      <w:r>
        <w:rPr>
          <w:sz w:val="18"/>
          <w:szCs w:val="18"/>
        </w:rPr>
        <w:t xml:space="preserve">•  For Anthropic Claude Fable 5 and Claude Fable 5.1, all traffic will be retained for up to 30 days for automated offline abuse detection. Classifier-flagged traffic will be subject to potential human review performed by AWS.</w:t>
      </w:r>
    </w:p>
    <w:p>
      <w:pPr>
        <w:spacing w:after="100"/>
        <w:ind w:left="340" w:hanging="220"/>
      </w:pPr>
      <w:r>
        <w:rPr>
          <w:sz w:val="18"/>
          <w:szCs w:val="18"/>
        </w:rPr>
        <w:t xml:space="preserve">•  Customers that are eligible for the Enterprise Frontier Safeguards program will receive ZDR through December 31, 2026. After ZDR ends, all traffic will be retained for up to 30 days for automated offline abuse detection. The Enterprise Frontier Safeguards program plans to enable customer-managed encryption keys and bring your own bucket for storage for automated offline abuse detection.</w:t>
      </w:r>
    </w:p>
    <w:p>
      <w:pPr>
        <w:spacing w:after="100"/>
      </w:pPr>
      <w:r>
        <w:rPr>
          <w:sz w:val="18"/>
          <w:szCs w:val="18"/>
        </w:rPr>
        <w:t xml:space="preserve">Retained inputs and outputs are stored and processed by AWS and are not shared with third-party model providers. For more information on data retention and related controls, see Data retention.</w:t>
      </w:r>
    </w:p>
    <w:p>
      <w:pPr>
        <w:spacing w:after="100"/>
      </w:pPr>
      <w:r>
        <w:rPr>
          <w:sz w:val="18"/>
          <w:szCs w:val="18"/>
        </w:rPr>
        <w:t xml:space="preserve">If cross-region inference is enabled for these models, retained inputs and outputs are stored in destination regions (i.e., the region where your inference request is processed).</w:t>
      </w:r>
    </w:p>
    <w:p>
      <w:pPr>
        <w:spacing w:after="100" w:before="200"/>
      </w:pPr>
      <w:r>
        <w:rPr>
          <w:b/>
          <w:bCs/>
          <w:sz w:val="21"/>
          <w:szCs w:val="21"/>
        </w:rPr>
        <w:t xml:space="preserve">Child sexual abuse material (“CSAM”)</w:t>
      </w:r>
    </w:p>
    <w:p>
      <w:pPr>
        <w:spacing w:after="100"/>
      </w:pPr>
      <w:r>
        <w:rPr>
          <w:sz w:val="18"/>
          <w:szCs w:val="18"/>
        </w:rPr>
        <w:t xml:space="preserve">To help stop the dissemination of child sexual abuse material (“CSAM”), Amazon Bedrock uses automated abuse detection mechanisms to detect apparent CSAM. If Amazon Bedrock detects apparent CSAM in your image inputs or outputs, Amazon Bedrock may block the request and return a ValidationException (HTTP 400) error in the API response. Amazon Bedrock may store and review the flagged input or output exclusively to determine if it is CSAM and may also file a report with the National Center for Missing and Exploited Children (NCMEC) or a relevant authority. You might be required by applicable laws to take additional actions, and you are responsible for those actions.</w:t>
      </w:r>
    </w:p>
    <w:p>
      <w:pPr>
        <w:spacing w:after="100" w:before="200"/>
      </w:pPr>
      <w:r>
        <w:rPr>
          <w:b/>
          <w:bCs/>
          <w:sz w:val="21"/>
          <w:szCs w:val="21"/>
        </w:rPr>
        <w:t xml:space="preserve">General information</w:t>
      </w:r>
    </w:p>
    <w:p>
      <w:pPr>
        <w:spacing w:after="100"/>
      </w:pPr>
      <w:r>
        <w:rPr>
          <w:sz w:val="18"/>
          <w:szCs w:val="18"/>
        </w:rPr>
        <w:t xml:space="preserve">If an abuse detection mechanism identifies potential violations, we may request information about your use of Amazon Bedrock and compliance with relevant terms and policies. These requests are sent to the email address associated with your AWS account, so ensure that your account contact information is current and monitored. AWS may suspend your access to any model or Amazon Bedrock if you fail to comply with applicable terms or policies or are non-responsive.</w:t>
      </w:r>
    </w:p>
    <w:p>
      <w:pPr>
        <w:spacing w:after="100"/>
      </w:pPr>
      <w:r>
        <w:rPr>
          <w:sz w:val="18"/>
          <w:szCs w:val="18"/>
        </w:rPr>
        <w:t xml:space="preserve">Contact your AWS account team or AWS Support if you have additional questions.</w:t>
      </w:r>
    </w:p>
    <w:p>
      <w:pPr>
        <w:pBdr>
          <w:top w:val="single" w:color="999999" w:sz="6" w:space="10"/>
        </w:pBdr>
        <w:spacing w:before="240"/>
      </w:pPr>
      <w:r>
        <w:rPr>
          <w:color w:val="666666"/>
          <w:sz w:val="18"/>
          <w:szCs w:val="18"/>
        </w:rPr>
        <w:t xml:space="preserve">Amazon Bedrock User Guide, Abschnitt „Abuse detection“ (Seiten 2152 f.), abgerufen am 14.10.2026, Kanzlei Dortschy &amp; Thunert — Anlage zum Aktenvermerk gleichen Datums. Der User Guide ist Dokumentation und kein Vertrag; AWS kann ihn ohne Ankündigung ändern.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8c65daf7119f3f5a818d28d1fcebe4779213dbb.png"/><Relationship Id="rId8" Type="http://schemas.openxmlformats.org/officeDocument/2006/relationships/image" Target="media/46ee84f1322831a9f7e994a0e8c7333c4cfa2e5a.png"/><Relationship Id="rId9" Type="http://schemas.openxmlformats.org/officeDocument/2006/relationships/image" Target="media/38e2f041c4a13f9a49a70b8ea8d0910c2e73e867.png"/><Relationship Id="rId10" Type="http://schemas.openxmlformats.org/officeDocument/2006/relationships/image" Target="media/ddadb45e8a3ead2b5f48958315a585d7cfcb0ac5.png"/><Relationship Id="rId11" Type="http://schemas.openxmlformats.org/officeDocument/2006/relationships/image" Target="media/8cf1f50f03d27e7c7fe39156165b3fe06b693af8.png"/><Relationship Id="rId12" Type="http://schemas.openxmlformats.org/officeDocument/2006/relationships/image" Target="media/0c40338f568a597ea5de8b11ad1d0c999af33292.png"/><Relationship Id="rId13" Type="http://schemas.openxmlformats.org/officeDocument/2006/relationships/image" Target="media/4674de1cdb794a14074b6fe379e278ff633175da.png"/><Relationship Id="rId14" Type="http://schemas.openxmlformats.org/officeDocument/2006/relationships/image" Target="media/be744575e43e9b5e4d0659bcb9bdc09ee65d4450.png"/><Relationship Id="rId15" Type="http://schemas.openxmlformats.org/officeDocument/2006/relationships/image" Target="media/0f8c608ef935a1bdcf3e4915507d3f40eeb2ee57.png"/><Relationship Id="rId16" Type="http://schemas.openxmlformats.org/officeDocument/2006/relationships/image" Target="media/11e9a94ddc96dcb0fe08606ea2157c71fba6c2fe.png"/><Relationship Id="rId17" Type="http://schemas.openxmlformats.org/officeDocument/2006/relationships/image" Target="media/8276876e4474ad785917dda2df4e09c66a54efd0.png"/><Relationship Id="rId18" Type="http://schemas.openxmlformats.org/officeDocument/2006/relationships/image" Target="media/b3a178251d89c2d65ac1d09dc6f55b9ffcc91e30.png"/><Relationship Id="rId19" Type="http://schemas.openxmlformats.org/officeDocument/2006/relationships/image" Target="media/cf07109a508a4aa898613280043e8f76a0f350a0.png"/><Relationship Id="rId20" Type="http://schemas.openxmlformats.org/officeDocument/2006/relationships/image" Target="media/31d1f3a9eca02330715249f0f4c4f232e2828fda.png"/><Relationship Id="rId21" Type="http://schemas.openxmlformats.org/officeDocument/2006/relationships/image" Target="media/5caadc01f04a1fe4a7777cfe1cd34bc0b5cf6bfc.png"/><Relationship Id="rId22" Type="http://schemas.openxmlformats.org/officeDocument/2006/relationships/image" Target="media/402332a79c46b89e2b510711989b3b474f15df52.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Anlagen zum Aktenvermerk AWS vom 14.10.2026</dc:title>
  <dc:creator>Kanzlei Dortschy &amp; Thunert</dc:creator>
  <dc:description>Bildschirmausdrucke zu den Anlagen 1 bis 3</dc:description>
  <cp:lastModifiedBy>Un-named</cp:lastModifiedBy>
  <cp:revision>1</cp:revision>
  <dcterms:created xsi:type="dcterms:W3CDTF">2026-10-14T17:57:39.400Z</dcterms:created>
  <dcterms:modified xsi:type="dcterms:W3CDTF">2026-10-14T17:57:39.400Z</dcterms:modified>
</cp:coreProperties>
</file>

<file path=docProps/custom.xml><?xml version="1.0" encoding="utf-8"?>
<Properties xmlns="http://schemas.openxmlformats.org/officeDocument/2006/custom-properties" xmlns:vt="http://schemas.openxmlformats.org/officeDocument/2006/docPropsVTypes"/>
</file>