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Inter" w:cs="Inter" w:eastAsia="Inter" w:hAnsi="Inter"/>
          <w:sz w:val="14"/>
          <w:szCs w:val="14"/>
        </w:rPr>
      </w:pPr>
      <w:r w:rsidDel="00000000" w:rsidR="00000000" w:rsidRPr="00000000">
        <w:rPr>
          <w:rFonts w:ascii="Inter" w:cs="Inter" w:eastAsia="Inter" w:hAnsi="Inter"/>
          <w:b w:val="1"/>
          <w:bCs w:val="1"/>
          <w:color w:val="1f4e78"/>
          <w:rtl w:val="0"/>
        </w:rPr>
        <w:t xml:space="preserve">Nuclear Project Deployment Incentives on Tribal Lands</w:t>
      </w:r>
      <w:r w:rsidDel="00000000" w:rsidR="00000000" w:rsidRPr="00000000">
        <w:rPr>
          <w:rtl w:val="0"/>
        </w:rPr>
      </w:r>
    </w:p>
    <w:p w:rsidR="00000000" w:rsidDel="00000000" w:rsidP="00000000" w:rsidRDefault="00000000" w:rsidRPr="00000000" w14:paraId="00000002">
      <w:pPr>
        <w:spacing w:after="320" w:lineRule="auto"/>
        <w:jc w:val="center"/>
        <w:rPr>
          <w:rFonts w:ascii="Inter" w:cs="Inter" w:eastAsia="Inter" w:hAnsi="Inter"/>
          <w:sz w:val="14"/>
          <w:szCs w:val="14"/>
        </w:rPr>
      </w:pPr>
      <w:r w:rsidDel="00000000" w:rsidR="00000000" w:rsidRPr="00000000">
        <w:rPr>
          <w:rFonts w:ascii="Inter" w:cs="Inter" w:eastAsia="Inter" w:hAnsi="Inter"/>
          <w:i w:val="1"/>
          <w:iCs w:val="1"/>
          <w:color w:val="595959"/>
          <w:sz w:val="16"/>
          <w:szCs w:val="16"/>
          <w:rtl w:val="0"/>
        </w:rPr>
        <w:t xml:space="preserve">Summary of Federal Tax Credits, Direct Pay, Loan Programs, and Application Process</w:t>
      </w:r>
      <w:r w:rsidDel="00000000" w:rsidR="00000000" w:rsidRPr="00000000">
        <w:rPr>
          <w:rtl w:val="0"/>
        </w:rPr>
      </w:r>
    </w:p>
    <w:p w:rsidR="00000000" w:rsidDel="00000000" w:rsidP="00000000" w:rsidRDefault="00000000" w:rsidRPr="00000000" w14:paraId="00000003">
      <w:pPr>
        <w:pStyle w:val="Heading1"/>
        <w:rPr>
          <w:rFonts w:ascii="Inter" w:cs="Inter" w:eastAsia="Inter" w:hAnsi="Inter"/>
          <w:sz w:val="20"/>
          <w:szCs w:val="20"/>
        </w:rPr>
      </w:pPr>
      <w:r w:rsidDel="00000000" w:rsidR="00000000" w:rsidRPr="00000000">
        <w:rPr>
          <w:rFonts w:ascii="Inter" w:cs="Inter" w:eastAsia="Inter" w:hAnsi="Inter"/>
          <w:sz w:val="20"/>
          <w:szCs w:val="20"/>
          <w:rtl w:val="0"/>
        </w:rPr>
        <w:t xml:space="preserve">Executive Summary</w:t>
      </w:r>
    </w:p>
    <w:p w:rsidR="00000000" w:rsidDel="00000000" w:rsidP="00000000" w:rsidRDefault="00000000" w:rsidRPr="00000000" w14:paraId="00000004">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Nuclear projects sited on Tribal lands can stack several federal incentives that, in combination, can offset 30–70% of project capital cost (for facilities under 5 MW) or 30–50% for utility-scale projects, plus access to substantial DOE loan guarantees and grants. The benefits flow from three primary statutes: (1) the Inflation Reduction Act of 2022 (IRA), (2) the One Big Beautiful Bill Act of 2025 (OBBBA), and (3) Title XXVI of the Energy Policy Act, as amended.</w:t>
      </w:r>
      <w:r w:rsidDel="00000000" w:rsidR="00000000" w:rsidRPr="00000000">
        <w:rPr>
          <w:rFonts w:ascii="Inter" w:cs="Inter" w:eastAsia="Inter" w:hAnsi="Inter"/>
          <w:color w:val="0563c1"/>
          <w:sz w:val="16"/>
          <w:szCs w:val="16"/>
          <w:vertAlign w:val="superscript"/>
          <w:rtl w:val="0"/>
        </w:rPr>
        <w:t xml:space="preserve">[1,2,6,9,41,42,53]</w:t>
      </w:r>
      <w:r w:rsidDel="00000000" w:rsidR="00000000" w:rsidRPr="00000000">
        <w:rPr>
          <w:rtl w:val="0"/>
        </w:rPr>
      </w:r>
    </w:p>
    <w:p w:rsidR="00000000" w:rsidDel="00000000" w:rsidP="00000000" w:rsidRDefault="00000000" w:rsidRPr="00000000" w14:paraId="00000005">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Critical scope note: The headline "+10% Indian land bonus" widely cited in the press is the Section 48E(h) Low-Income Communities Bonus Credit. By statute, it is capped at facilities with net output under 5 MW. This means microreactors qualify, but typical small modular reactors (SMRs, ~50–300 MWe) and large reactors do not qualify for that specific adder. Larger nuclear facilities on Tribal lands still benefit from the base 30% Section 48E ITC, the 10% domestic content adder, the 10% energy community adder (where applicable), Direct Pay, and DOE loan/grant programs.</w:t>
      </w:r>
      <w:r w:rsidDel="00000000" w:rsidR="00000000" w:rsidRPr="00000000">
        <w:rPr>
          <w:rFonts w:ascii="Inter" w:cs="Inter" w:eastAsia="Inter" w:hAnsi="Inter"/>
          <w:color w:val="0563c1"/>
          <w:sz w:val="16"/>
          <w:szCs w:val="16"/>
          <w:vertAlign w:val="superscript"/>
          <w:rtl w:val="0"/>
        </w:rPr>
        <w:t xml:space="preserve">[2,3,6,7]</w:t>
      </w:r>
      <w:r w:rsidDel="00000000" w:rsidR="00000000" w:rsidRPr="00000000">
        <w:rPr>
          <w:rtl w:val="0"/>
        </w:rPr>
      </w:r>
    </w:p>
    <w:p w:rsidR="00000000" w:rsidDel="00000000" w:rsidP="00000000" w:rsidRDefault="00000000" w:rsidRPr="00000000" w14:paraId="00000006">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Key timing consideration: Under the OBBBA (signed July 4, 2025), the Section 48E ITC and Section 45Y PTC for nuclear remain available at full value for projects that begin construction before 2034, then phase down to 75% in 2034, 50% in 2035, and 0% for construction starting 2036 or later.</w:t>
      </w:r>
      <w:r w:rsidDel="00000000" w:rsidR="00000000" w:rsidRPr="00000000">
        <w:rPr>
          <w:rFonts w:ascii="Inter" w:cs="Inter" w:eastAsia="Inter" w:hAnsi="Inter"/>
          <w:color w:val="0563c1"/>
          <w:sz w:val="16"/>
          <w:szCs w:val="16"/>
          <w:vertAlign w:val="superscript"/>
          <w:rtl w:val="0"/>
        </w:rPr>
        <w:t xml:space="preserve">[41,43,44,45,46]</w:t>
      </w:r>
      <w:r w:rsidDel="00000000" w:rsidR="00000000" w:rsidRPr="00000000">
        <w:rPr>
          <w:rtl w:val="0"/>
        </w:rPr>
      </w:r>
    </w:p>
    <w:p w:rsidR="00000000" w:rsidDel="00000000" w:rsidP="00000000" w:rsidRDefault="00000000" w:rsidRPr="00000000" w14:paraId="00000007">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Note on terminology: TEFP (Tribal Energy Financing Program) was previously known as TELGP (Tribal Energy Loan Guarantee Program). The program was renamed and recently moved from the DOE Loan Programs Office to the new Office of Energy Dominance Financing (EDF). All references in this document use the current TEFP/EDF nomenclature.</w:t>
      </w:r>
      <w:r w:rsidDel="00000000" w:rsidR="00000000" w:rsidRPr="00000000">
        <w:rPr>
          <w:rFonts w:ascii="Inter" w:cs="Inter" w:eastAsia="Inter" w:hAnsi="Inter"/>
          <w:color w:val="0563c1"/>
          <w:sz w:val="16"/>
          <w:szCs w:val="16"/>
          <w:vertAlign w:val="superscript"/>
          <w:rtl w:val="0"/>
        </w:rPr>
        <w:t xml:space="preserve">[13,14]</w:t>
      </w:r>
      <w:r w:rsidDel="00000000" w:rsidR="00000000" w:rsidRPr="00000000">
        <w:rPr>
          <w:rtl w:val="0"/>
        </w:rPr>
      </w:r>
    </w:p>
    <w:p w:rsidR="00000000" w:rsidDel="00000000" w:rsidP="00000000" w:rsidRDefault="00000000" w:rsidRPr="00000000" w14:paraId="00000008">
      <w:pPr>
        <w:pStyle w:val="Heading1"/>
        <w:rPr>
          <w:rFonts w:ascii="Inter" w:cs="Inter" w:eastAsia="Inter" w:hAnsi="Inter"/>
          <w:sz w:val="20"/>
          <w:szCs w:val="20"/>
        </w:rPr>
      </w:pPr>
      <w:r w:rsidDel="00000000" w:rsidR="00000000" w:rsidRPr="00000000">
        <w:rPr>
          <w:rFonts w:ascii="Inter" w:cs="Inter" w:eastAsia="Inter" w:hAnsi="Inter"/>
          <w:sz w:val="20"/>
          <w:szCs w:val="20"/>
          <w:rtl w:val="0"/>
        </w:rPr>
        <w:t xml:space="preserve">1. Financial Benefits for Nuclear Projects on Tribal Lands</w:t>
      </w:r>
    </w:p>
    <w:p w:rsidR="00000000" w:rsidDel="00000000" w:rsidP="00000000" w:rsidRDefault="00000000" w:rsidRPr="00000000" w14:paraId="00000009">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1.1 Section 48E Clean Electricity Investment Tax Credit (Base ITC)</w:t>
      </w:r>
    </w:p>
    <w:p w:rsidR="00000000" w:rsidDel="00000000" w:rsidP="00000000" w:rsidRDefault="00000000" w:rsidRPr="00000000" w14:paraId="0000000A">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Clean Electricity ITC under IRC §48E is the foundational benefit. New nuclear facilities (including advanced reactors, SMRs, and microreactors) placed in service after December 31, 2024 qualify, provided the facility produces a greenhouse gas emissions rate of zero.</w:t>
      </w:r>
      <w:r w:rsidDel="00000000" w:rsidR="00000000" w:rsidRPr="00000000">
        <w:rPr>
          <w:rFonts w:ascii="Inter" w:cs="Inter" w:eastAsia="Inter" w:hAnsi="Inter"/>
          <w:color w:val="0563c1"/>
          <w:sz w:val="16"/>
          <w:szCs w:val="16"/>
          <w:vertAlign w:val="superscript"/>
          <w:rtl w:val="0"/>
        </w:rPr>
        <w:t xml:space="preserve">[5,9]</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Base credit: 6% of qualified investment cost basis (without prevailing wage &amp; apprenticeship).</w:t>
      </w:r>
      <w:r w:rsidDel="00000000" w:rsidR="00000000" w:rsidRPr="00000000">
        <w:rPr>
          <w:rFonts w:ascii="Inter" w:cs="Inter" w:eastAsia="Inter" w:hAnsi="Inter"/>
          <w:color w:val="0563c1"/>
          <w:sz w:val="16"/>
          <w:szCs w:val="16"/>
          <w:vertAlign w:val="superscript"/>
          <w:rtl w:val="0"/>
        </w:rPr>
        <w:t xml:space="preserve">[5,9,19]</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Bonus credit: 30% of qualified investment cost basis when prevailing wage and apprenticeship (PWA) requirements are met. Almost all nuclear projects will plan to meet PWA.</w:t>
      </w:r>
      <w:r w:rsidDel="00000000" w:rsidR="00000000" w:rsidRPr="00000000">
        <w:rPr>
          <w:rFonts w:ascii="Inter" w:cs="Inter" w:eastAsia="Inter" w:hAnsi="Inter"/>
          <w:color w:val="0563c1"/>
          <w:sz w:val="16"/>
          <w:szCs w:val="16"/>
          <w:vertAlign w:val="superscript"/>
          <w:rtl w:val="0"/>
        </w:rPr>
        <w:t xml:space="preserve">[5,9,19]</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OBBBA phasedown for nuclear: 100% credit value for begin-construction before 2034; 75% in 2034; 50% in 2035; 0% in 2036 and later.</w:t>
      </w:r>
      <w:r w:rsidDel="00000000" w:rsidR="00000000" w:rsidRPr="00000000">
        <w:rPr>
          <w:rFonts w:ascii="Inter" w:cs="Inter" w:eastAsia="Inter" w:hAnsi="Inter"/>
          <w:color w:val="0563c1"/>
          <w:sz w:val="16"/>
          <w:szCs w:val="16"/>
          <w:vertAlign w:val="superscript"/>
          <w:rtl w:val="0"/>
        </w:rPr>
        <w:t xml:space="preserve">[41,43,44]</w:t>
      </w:r>
      <w:r w:rsidDel="00000000" w:rsidR="00000000" w:rsidRPr="00000000">
        <w:rPr>
          <w:rtl w:val="0"/>
        </w:rPr>
      </w:r>
    </w:p>
    <w:p w:rsidR="00000000" w:rsidDel="00000000" w:rsidP="00000000" w:rsidRDefault="00000000" w:rsidRPr="00000000" w14:paraId="0000000E">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1.2 Stackable Bonus Adders</w:t>
      </w:r>
    </w:p>
    <w:p w:rsidR="00000000" w:rsidDel="00000000" w:rsidP="00000000" w:rsidRDefault="00000000" w:rsidRPr="00000000" w14:paraId="0000000F">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On top of the 30% base, nuclear projects can layer the following bonus adders: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800"/>
        <w:gridCol w:w="3760"/>
        <w:tblGridChange w:id="0">
          <w:tblGrid>
            <w:gridCol w:w="2400"/>
            <w:gridCol w:w="1400"/>
            <w:gridCol w:w="18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10">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Bonus 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11">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12">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Applies to Nuclear?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13">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Key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rFonts w:ascii="Inter" w:cs="Inter" w:eastAsia="Inter" w:hAnsi="Inter"/>
                <w:sz w:val="16"/>
                <w:szCs w:val="16"/>
              </w:rPr>
            </w:pPr>
            <w:r w:rsidDel="00000000" w:rsidR="00000000" w:rsidRPr="00000000">
              <w:rPr>
                <w:rFonts w:ascii="Inter" w:cs="Inter" w:eastAsia="Inter" w:hAnsi="Inter"/>
                <w:sz w:val="16"/>
                <w:szCs w:val="16"/>
                <w:rtl w:val="0"/>
              </w:rPr>
              <w:t xml:space="preserve">Domestic Content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rPr>
                <w:rFonts w:ascii="Inter" w:cs="Inter" w:eastAsia="Inter" w:hAnsi="Inter"/>
                <w:sz w:val="16"/>
                <w:szCs w:val="16"/>
              </w:rPr>
            </w:pPr>
            <w:r w:rsidDel="00000000" w:rsidR="00000000" w:rsidRPr="00000000">
              <w:rPr>
                <w:rFonts w:ascii="Inter" w:cs="Inter" w:eastAsia="Inter" w:hAnsi="Inter"/>
                <w:sz w:val="16"/>
                <w:szCs w:val="16"/>
                <w:rtl w:val="0"/>
              </w:rPr>
              <w:t xml:space="preserve">+10 pp ITC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rPr>
                <w:rFonts w:ascii="Inter" w:cs="Inter" w:eastAsia="Inter" w:hAnsi="Inter"/>
                <w:sz w:val="16"/>
                <w:szCs w:val="16"/>
              </w:rPr>
            </w:pPr>
            <w:r w:rsidDel="00000000" w:rsidR="00000000" w:rsidRPr="00000000">
              <w:rPr>
                <w:rFonts w:ascii="Inter" w:cs="Inter" w:eastAsia="Inter" w:hAnsi="Inter"/>
                <w:sz w:val="16"/>
                <w:szCs w:val="16"/>
                <w:rtl w:val="0"/>
              </w:rPr>
              <w:t xml:space="preserve">Yes — all sizes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7">
            <w:pPr>
              <w:rPr>
                <w:rFonts w:ascii="Inter" w:cs="Inter" w:eastAsia="Inter" w:hAnsi="Inter"/>
                <w:sz w:val="16"/>
                <w:szCs w:val="16"/>
              </w:rPr>
            </w:pPr>
            <w:r w:rsidDel="00000000" w:rsidR="00000000" w:rsidRPr="00000000">
              <w:rPr>
                <w:rFonts w:ascii="Inter" w:cs="Inter" w:eastAsia="Inter" w:hAnsi="Inter"/>
                <w:sz w:val="16"/>
                <w:szCs w:val="16"/>
                <w:rtl w:val="0"/>
              </w:rPr>
              <w:t xml:space="preserve">100% US steel/iron + ≥40% (rising to 55%) US-manufactured product cost share.</w:t>
            </w:r>
            <w:r w:rsidDel="00000000" w:rsidR="00000000" w:rsidRPr="00000000">
              <w:rPr>
                <w:rFonts w:ascii="Inter" w:cs="Inter" w:eastAsia="Inter" w:hAnsi="Inter"/>
                <w:color w:val="0563c1"/>
                <w:sz w:val="16"/>
                <w:szCs w:val="16"/>
                <w:vertAlign w:val="superscript"/>
                <w:rtl w:val="0"/>
              </w:rPr>
              <w:t xml:space="preserve">[18,23]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rPr>
                <w:rFonts w:ascii="Inter" w:cs="Inter" w:eastAsia="Inter" w:hAnsi="Inter"/>
                <w:sz w:val="16"/>
                <w:szCs w:val="16"/>
              </w:rPr>
            </w:pPr>
            <w:r w:rsidDel="00000000" w:rsidR="00000000" w:rsidRPr="00000000">
              <w:rPr>
                <w:rFonts w:ascii="Inter" w:cs="Inter" w:eastAsia="Inter" w:hAnsi="Inter"/>
                <w:sz w:val="16"/>
                <w:szCs w:val="16"/>
                <w:rtl w:val="0"/>
              </w:rPr>
              <w:t xml:space="preserve">Energy Community (general)</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rPr>
                <w:rFonts w:ascii="Inter" w:cs="Inter" w:eastAsia="Inter" w:hAnsi="Inter"/>
                <w:sz w:val="16"/>
                <w:szCs w:val="16"/>
              </w:rPr>
            </w:pPr>
            <w:r w:rsidDel="00000000" w:rsidR="00000000" w:rsidRPr="00000000">
              <w:rPr>
                <w:rFonts w:ascii="Inter" w:cs="Inter" w:eastAsia="Inter" w:hAnsi="Inter"/>
                <w:sz w:val="16"/>
                <w:szCs w:val="16"/>
                <w:rtl w:val="0"/>
              </w:rPr>
              <w:t xml:space="preserve">+10 pp ITC</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rFonts w:ascii="Inter" w:cs="Inter" w:eastAsia="Inter" w:hAnsi="Inter"/>
                <w:sz w:val="16"/>
                <w:szCs w:val="16"/>
              </w:rPr>
            </w:pPr>
            <w:r w:rsidDel="00000000" w:rsidR="00000000" w:rsidRPr="00000000">
              <w:rPr>
                <w:rFonts w:ascii="Inter" w:cs="Inter" w:eastAsia="Inter" w:hAnsi="Inter"/>
                <w:sz w:val="16"/>
                <w:szCs w:val="16"/>
                <w:rtl w:val="0"/>
              </w:rPr>
              <w:t xml:space="preserve">Yes — all sizes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rFonts w:ascii="Inter" w:cs="Inter" w:eastAsia="Inter" w:hAnsi="Inter"/>
                <w:sz w:val="16"/>
                <w:szCs w:val="16"/>
              </w:rPr>
            </w:pPr>
            <w:r w:rsidDel="00000000" w:rsidR="00000000" w:rsidRPr="00000000">
              <w:rPr>
                <w:rFonts w:ascii="Inter" w:cs="Inter" w:eastAsia="Inter" w:hAnsi="Inter"/>
                <w:sz w:val="16"/>
                <w:szCs w:val="16"/>
                <w:rtl w:val="0"/>
              </w:rPr>
              <w:t xml:space="preserve">Brownfield site, coal-closure census tract, or fossil-fuel statistical area meeting 0.17% employment / 25% tax revenue test.</w:t>
            </w:r>
            <w:r w:rsidDel="00000000" w:rsidR="00000000" w:rsidRPr="00000000">
              <w:rPr>
                <w:rFonts w:ascii="Inter" w:cs="Inter" w:eastAsia="Inter" w:hAnsi="Inter"/>
                <w:color w:val="0563c1"/>
                <w:sz w:val="16"/>
                <w:szCs w:val="16"/>
                <w:vertAlign w:val="superscript"/>
                <w:rtl w:val="0"/>
              </w:rPr>
              <w:t xml:space="preserve">[4,15,22]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rPr>
                <w:rFonts w:ascii="Inter" w:cs="Inter" w:eastAsia="Inter" w:hAnsi="Inter"/>
                <w:sz w:val="16"/>
                <w:szCs w:val="16"/>
              </w:rPr>
            </w:pPr>
            <w:r w:rsidDel="00000000" w:rsidR="00000000" w:rsidRPr="00000000">
              <w:rPr>
                <w:rFonts w:ascii="Inter" w:cs="Inter" w:eastAsia="Inter" w:hAnsi="Inter"/>
                <w:sz w:val="16"/>
                <w:szCs w:val="16"/>
                <w:rtl w:val="0"/>
              </w:rPr>
              <w:t xml:space="preserve">Nuclear Energy Community (OBBBA)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rPr>
                <w:rFonts w:ascii="Inter" w:cs="Inter" w:eastAsia="Inter" w:hAnsi="Inter"/>
                <w:sz w:val="16"/>
                <w:szCs w:val="16"/>
              </w:rPr>
            </w:pPr>
            <w:r w:rsidDel="00000000" w:rsidR="00000000" w:rsidRPr="00000000">
              <w:rPr>
                <w:rFonts w:ascii="Inter" w:cs="Inter" w:eastAsia="Inter" w:hAnsi="Inter"/>
                <w:sz w:val="16"/>
                <w:szCs w:val="16"/>
                <w:rtl w:val="0"/>
              </w:rPr>
              <w:t xml:space="preserve">+10% PTC only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E">
            <w:pPr>
              <w:rPr>
                <w:rFonts w:ascii="Inter" w:cs="Inter" w:eastAsia="Inter" w:hAnsi="Inter"/>
                <w:sz w:val="16"/>
                <w:szCs w:val="16"/>
              </w:rPr>
            </w:pPr>
            <w:r w:rsidDel="00000000" w:rsidR="00000000" w:rsidRPr="00000000">
              <w:rPr>
                <w:rFonts w:ascii="Inter" w:cs="Inter" w:eastAsia="Inter" w:hAnsi="Inter"/>
                <w:sz w:val="16"/>
                <w:szCs w:val="16"/>
                <w:rtl w:val="0"/>
              </w:rPr>
              <w:t xml:space="preserve">PTC route only — not ITC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F">
            <w:pPr>
              <w:rPr>
                <w:rFonts w:ascii="Inter" w:cs="Inter" w:eastAsia="Inter" w:hAnsi="Inter"/>
                <w:sz w:val="16"/>
                <w:szCs w:val="16"/>
              </w:rPr>
            </w:pPr>
            <w:r w:rsidDel="00000000" w:rsidR="00000000" w:rsidRPr="00000000">
              <w:rPr>
                <w:rFonts w:ascii="Inter" w:cs="Inter" w:eastAsia="Inter" w:hAnsi="Inter"/>
                <w:sz w:val="16"/>
                <w:szCs w:val="16"/>
                <w:rtl w:val="0"/>
              </w:rPr>
              <w:t xml:space="preserve">Advanced nuclear facility in MSA with ≥0.17% nuclear employment (since 2010). PTC §45Y route only.</w:t>
            </w:r>
            <w:r w:rsidDel="00000000" w:rsidR="00000000" w:rsidRPr="00000000">
              <w:rPr>
                <w:rFonts w:ascii="Inter" w:cs="Inter" w:eastAsia="Inter" w:hAnsi="Inter"/>
                <w:color w:val="0563c1"/>
                <w:sz w:val="16"/>
                <w:szCs w:val="16"/>
                <w:vertAlign w:val="superscript"/>
                <w:rtl w:val="0"/>
              </w:rPr>
              <w:t xml:space="preserve">[41]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rPr>
                <w:rFonts w:ascii="Inter" w:cs="Inter" w:eastAsia="Inter" w:hAnsi="Inter"/>
                <w:sz w:val="16"/>
                <w:szCs w:val="16"/>
              </w:rPr>
            </w:pPr>
            <w:r w:rsidDel="00000000" w:rsidR="00000000" w:rsidRPr="00000000">
              <w:rPr>
                <w:rFonts w:ascii="Inter" w:cs="Inter" w:eastAsia="Inter" w:hAnsi="Inter"/>
                <w:sz w:val="16"/>
                <w:szCs w:val="16"/>
                <w:rtl w:val="0"/>
              </w:rPr>
              <w:t xml:space="preserve">Indian Land Bonus §48E(h)</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rPr>
                <w:rFonts w:ascii="Inter" w:cs="Inter" w:eastAsia="Inter" w:hAnsi="Inter"/>
                <w:sz w:val="16"/>
                <w:szCs w:val="16"/>
              </w:rPr>
            </w:pPr>
            <w:r w:rsidDel="00000000" w:rsidR="00000000" w:rsidRPr="00000000">
              <w:rPr>
                <w:rFonts w:ascii="Inter" w:cs="Inter" w:eastAsia="Inter" w:hAnsi="Inter"/>
                <w:sz w:val="16"/>
                <w:szCs w:val="16"/>
                <w:rtl w:val="0"/>
              </w:rPr>
              <w:t xml:space="preserve">+10 pp ITC</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rFonts w:ascii="Inter" w:cs="Inter" w:eastAsia="Inter" w:hAnsi="Inter"/>
                <w:sz w:val="16"/>
                <w:szCs w:val="16"/>
              </w:rPr>
            </w:pPr>
            <w:r w:rsidDel="00000000" w:rsidR="00000000" w:rsidRPr="00000000">
              <w:rPr>
                <w:rFonts w:ascii="Inter" w:cs="Inter" w:eastAsia="Inter" w:hAnsi="Inter"/>
                <w:sz w:val="16"/>
                <w:szCs w:val="16"/>
                <w:rtl w:val="0"/>
              </w:rPr>
              <w:t xml:space="preserve">Microreactors only (&lt;5 MW)</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rFonts w:ascii="Inter" w:cs="Inter" w:eastAsia="Inter" w:hAnsi="Inter"/>
                <w:sz w:val="16"/>
                <w:szCs w:val="16"/>
              </w:rPr>
            </w:pPr>
            <w:r w:rsidDel="00000000" w:rsidR="00000000" w:rsidRPr="00000000">
              <w:rPr>
                <w:rFonts w:ascii="Inter" w:cs="Inter" w:eastAsia="Inter" w:hAnsi="Inter"/>
                <w:sz w:val="16"/>
                <w:szCs w:val="16"/>
                <w:rtl w:val="0"/>
              </w:rPr>
              <w:t xml:space="preserve">Net output under 5 MW. Allocated capacity (200 MW carve-out for Indian Land in 2026 program). Competitive application.</w:t>
            </w:r>
            <w:r w:rsidDel="00000000" w:rsidR="00000000" w:rsidRPr="00000000">
              <w:rPr>
                <w:rFonts w:ascii="Inter" w:cs="Inter" w:eastAsia="Inter" w:hAnsi="Inter"/>
                <w:color w:val="0563c1"/>
                <w:sz w:val="16"/>
                <w:szCs w:val="16"/>
                <w:vertAlign w:val="superscript"/>
                <w:rtl w:val="0"/>
              </w:rPr>
              <w:t xml:space="preserve">[2,3,6,7]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4">
            <w:pPr>
              <w:rPr>
                <w:rFonts w:ascii="Inter" w:cs="Inter" w:eastAsia="Inter" w:hAnsi="Inter"/>
                <w:sz w:val="16"/>
                <w:szCs w:val="16"/>
              </w:rPr>
            </w:pPr>
            <w:r w:rsidDel="00000000" w:rsidR="00000000" w:rsidRPr="00000000">
              <w:rPr>
                <w:rFonts w:ascii="Inter" w:cs="Inter" w:eastAsia="Inter" w:hAnsi="Inter"/>
                <w:sz w:val="16"/>
                <w:szCs w:val="16"/>
                <w:rtl w:val="0"/>
              </w:rPr>
              <w:t xml:space="preserve">Low-Income Residential / Economic Benefit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5">
            <w:pPr>
              <w:rPr>
                <w:rFonts w:ascii="Inter" w:cs="Inter" w:eastAsia="Inter" w:hAnsi="Inter"/>
                <w:sz w:val="16"/>
                <w:szCs w:val="16"/>
              </w:rPr>
            </w:pPr>
            <w:r w:rsidDel="00000000" w:rsidR="00000000" w:rsidRPr="00000000">
              <w:rPr>
                <w:rFonts w:ascii="Inter" w:cs="Inter" w:eastAsia="Inter" w:hAnsi="Inter"/>
                <w:sz w:val="16"/>
                <w:szCs w:val="16"/>
                <w:rtl w:val="0"/>
              </w:rPr>
              <w:t xml:space="preserve">+20 pp ITC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6">
            <w:pPr>
              <w:rPr>
                <w:rFonts w:ascii="Inter" w:cs="Inter" w:eastAsia="Inter" w:hAnsi="Inter"/>
                <w:sz w:val="16"/>
                <w:szCs w:val="16"/>
              </w:rPr>
            </w:pPr>
            <w:r w:rsidDel="00000000" w:rsidR="00000000" w:rsidRPr="00000000">
              <w:rPr>
                <w:rFonts w:ascii="Inter" w:cs="Inter" w:eastAsia="Inter" w:hAnsi="Inter"/>
                <w:sz w:val="16"/>
                <w:szCs w:val="16"/>
                <w:rtl w:val="0"/>
              </w:rPr>
              <w:t xml:space="preserve">Microreactors only (&lt;5 MW)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rPr>
                <w:rFonts w:ascii="Inter" w:cs="Inter" w:eastAsia="Inter" w:hAnsi="Inter"/>
                <w:sz w:val="16"/>
                <w:szCs w:val="16"/>
              </w:rPr>
            </w:pPr>
            <w:r w:rsidDel="00000000" w:rsidR="00000000" w:rsidRPr="00000000">
              <w:rPr>
                <w:rFonts w:ascii="Inter" w:cs="Inter" w:eastAsia="Inter" w:hAnsi="Inter"/>
                <w:sz w:val="16"/>
                <w:szCs w:val="16"/>
                <w:rtl w:val="0"/>
              </w:rPr>
              <w:t xml:space="preserve">≥50% of electricity benefits flow to qualifying low-income households, OR project is in a federally subsidized residential building.</w:t>
            </w:r>
            <w:r w:rsidDel="00000000" w:rsidR="00000000" w:rsidRPr="00000000">
              <w:rPr>
                <w:rFonts w:ascii="Inter" w:cs="Inter" w:eastAsia="Inter" w:hAnsi="Inter"/>
                <w:color w:val="0563c1"/>
                <w:sz w:val="16"/>
                <w:szCs w:val="16"/>
                <w:vertAlign w:val="superscript"/>
                <w:rtl w:val="0"/>
              </w:rPr>
              <w:t xml:space="preserve">[2,3,7]</w:t>
            </w:r>
            <w:r w:rsidDel="00000000" w:rsidR="00000000" w:rsidRPr="00000000">
              <w:rPr>
                <w:rtl w:val="0"/>
              </w:rPr>
            </w:r>
          </w:p>
        </w:tc>
      </w:tr>
    </w:tbl>
    <w:p w:rsidR="00000000" w:rsidDel="00000000" w:rsidP="00000000" w:rsidRDefault="00000000" w:rsidRPr="00000000" w14:paraId="00000028">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Maximum stack for a microreactor (&lt;5 MW) on Tribal land: 30% base + 10% domestic content + 10% energy community + 10% Indian land + (potentially) 20% low-income economic benefit = up to 70% ITC of the qualified cost basis. The Section 48(e)/48E(h) maximum is capped at 70% ITC, even if separately the math could go higher.</w:t>
      </w:r>
    </w:p>
    <w:p w:rsidR="00000000" w:rsidDel="00000000" w:rsidP="00000000" w:rsidRDefault="00000000" w:rsidRPr="00000000" w14:paraId="00000029">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Maximum stack for utility-scale advanced reactor / SMR (≥5 MW) on Tribal land: 30% base + 10% domestic content + 10% energy community = 50% ITC (if energy community criteria are met at the site). Without the energy community adder, the ceiling is 40%.</w:t>
      </w:r>
      <w:r w:rsidDel="00000000" w:rsidR="00000000" w:rsidRPr="00000000">
        <w:rPr>
          <w:rFonts w:ascii="Inter" w:cs="Inter" w:eastAsia="Inter" w:hAnsi="Inter"/>
          <w:color w:val="0563c1"/>
          <w:sz w:val="16"/>
          <w:szCs w:val="16"/>
          <w:vertAlign w:val="superscript"/>
          <w:rtl w:val="0"/>
        </w:rPr>
        <w:t xml:space="preserve">[5,18,49]</w:t>
      </w:r>
      <w:r w:rsidDel="00000000" w:rsidR="00000000" w:rsidRPr="00000000">
        <w:rPr>
          <w:rtl w:val="0"/>
        </w:rPr>
      </w:r>
    </w:p>
    <w:p w:rsidR="00000000" w:rsidDel="00000000" w:rsidP="00000000" w:rsidRDefault="00000000" w:rsidRPr="00000000" w14:paraId="0000002A">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1.3 Direct Pay (Elective Payment) — Cash Refund for Tribes</w:t>
      </w:r>
    </w:p>
    <w:p w:rsidR="00000000" w:rsidDel="00000000" w:rsidP="00000000" w:rsidRDefault="00000000" w:rsidRPr="00000000" w14:paraId="0000002B">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Tribal governments are tax-exempt and historically could not use ITCs. The IRA changed this through IRC §6417, allowing federally recognized Tribal governments, Tribal enterprises, Alaska Native Corporations, and other applicable entities to elect to receive the credit as a direct cash payment from the IRS instead of as an offset to tax liability.</w:t>
      </w:r>
      <w:r w:rsidDel="00000000" w:rsidR="00000000" w:rsidRPr="00000000">
        <w:rPr>
          <w:rFonts w:ascii="Inter" w:cs="Inter" w:eastAsia="Inter" w:hAnsi="Inter"/>
          <w:color w:val="0563c1"/>
          <w:sz w:val="16"/>
          <w:szCs w:val="16"/>
          <w:vertAlign w:val="superscript"/>
          <w:rtl w:val="0"/>
        </w:rPr>
        <w:t xml:space="preserve">[8,21,47,53]</w:t>
      </w: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The credit is refundable: the IRS issues a check (or wire) for the credit amount as a tax refund.</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This effectively converts a 30–70% tax credit into a 30–70% cash investment in the project.</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For partnerships involving a Tribe and a taxable developer, special elections under §761(a) may be required to preserve direct pay eligibility.</w:t>
      </w:r>
      <w:r w:rsidDel="00000000" w:rsidR="00000000" w:rsidRPr="00000000">
        <w:rPr>
          <w:rFonts w:ascii="Inter" w:cs="Inter" w:eastAsia="Inter" w:hAnsi="Inter"/>
          <w:color w:val="0563c1"/>
          <w:sz w:val="16"/>
          <w:szCs w:val="16"/>
          <w:vertAlign w:val="superscript"/>
          <w:rtl w:val="0"/>
        </w:rPr>
        <w:t xml:space="preserve">[47,53]</w:t>
      </w:r>
      <w:r w:rsidDel="00000000" w:rsidR="00000000" w:rsidRPr="00000000">
        <w:rPr>
          <w:rtl w:val="0"/>
        </w:rPr>
      </w:r>
    </w:p>
    <w:p w:rsidR="00000000" w:rsidDel="00000000" w:rsidP="00000000" w:rsidRDefault="00000000" w:rsidRPr="00000000" w14:paraId="0000002F">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1.4 Section 45Y Production Tax Credit (PTC) — Alternative to ITC</w:t>
      </w:r>
    </w:p>
    <w:p w:rsidR="00000000" w:rsidDel="00000000" w:rsidP="00000000" w:rsidRDefault="00000000" w:rsidRPr="00000000" w14:paraId="00000030">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Instead of the ITC, owners of new nuclear facilities placed in service after 2024 can elect the Clean Electricity PTC under §45Y, currently $30/MWh (inflation-adjusted from the $25/MWh statutory rate, with PWA met) for the first 10 years of operation.</w:t>
      </w:r>
      <w:r w:rsidDel="00000000" w:rsidR="00000000" w:rsidRPr="00000000">
        <w:rPr>
          <w:rFonts w:ascii="Inter" w:cs="Inter" w:eastAsia="Inter" w:hAnsi="Inter"/>
          <w:color w:val="0563c1"/>
          <w:sz w:val="16"/>
          <w:szCs w:val="16"/>
          <w:vertAlign w:val="superscript"/>
          <w:rtl w:val="0"/>
        </w:rPr>
        <w:t xml:space="preserve">[5,9,42]</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OBBBA added a +10% "Nuclear Energy Community" adder to §45Y PTC (PTC only, not ITC).</w:t>
      </w:r>
      <w:r w:rsidDel="00000000" w:rsidR="00000000" w:rsidRPr="00000000">
        <w:rPr>
          <w:rFonts w:ascii="Inter" w:cs="Inter" w:eastAsia="Inter" w:hAnsi="Inter"/>
          <w:color w:val="0563c1"/>
          <w:sz w:val="16"/>
          <w:szCs w:val="16"/>
          <w:vertAlign w:val="superscript"/>
          <w:rtl w:val="0"/>
        </w:rPr>
        <w:t xml:space="preserve">[41]</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Domestic content +10% adder also available.</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Direct Pay applies.</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Important PTC adder mechanic: PTC adders are MULTIPLICATIVE on the credit rate (e.g., +10% means $30/MWh × 1.10 = $33/MWh per adder), whereas ITC adders are ADDITIVE percentage points on cost basis. This makes the ITC stack slightly more generous than the PTC stack when multiple adders apply. Source: IRS Notice 2023-29 (energy community); IRS Notice 2023-38 (domestic content); Morgan Lewis confirms domestic content adder is "10% (not 10 percentage points)" for the PTC.</w:t>
      </w:r>
      <w:r w:rsidDel="00000000" w:rsidR="00000000" w:rsidRPr="00000000">
        <w:rPr>
          <w:rFonts w:ascii="Inter" w:cs="Inter" w:eastAsia="Inter" w:hAnsi="Inter"/>
          <w:color w:val="0563c1"/>
          <w:sz w:val="16"/>
          <w:szCs w:val="16"/>
          <w:vertAlign w:val="superscript"/>
          <w:rtl w:val="0"/>
        </w:rPr>
        <w:t xml:space="preserve">[18,54,55]</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PTC vs ITC choice depends on capacity factor, capital cost, and financing — generally, the PTC is more favorable for projects with low overnight capital cost and high capacity factor; the ITC is more favorable for first-of-a-kind (FOAK) projects with high capital cost.</w:t>
      </w:r>
      <w:r w:rsidDel="00000000" w:rsidR="00000000" w:rsidRPr="00000000">
        <w:rPr>
          <w:rFonts w:ascii="Inter" w:cs="Inter" w:eastAsia="Inter" w:hAnsi="Inter"/>
          <w:color w:val="0563c1"/>
          <w:sz w:val="16"/>
          <w:szCs w:val="16"/>
          <w:vertAlign w:val="superscript"/>
          <w:rtl w:val="0"/>
        </w:rPr>
        <w:t xml:space="preserve">[51,52]</w:t>
      </w:r>
      <w:r w:rsidDel="00000000" w:rsidR="00000000" w:rsidRPr="00000000">
        <w:rPr>
          <w:rtl w:val="0"/>
        </w:rPr>
      </w:r>
    </w:p>
    <w:p w:rsidR="00000000" w:rsidDel="00000000" w:rsidP="00000000" w:rsidRDefault="00000000" w:rsidRPr="00000000" w14:paraId="00000036">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1.5 DOE Tribal Energy Financing Program (TEFP) — Loan Guarantees</w:t>
      </w:r>
    </w:p>
    <w:p w:rsidR="00000000" w:rsidDel="00000000" w:rsidP="00000000" w:rsidRDefault="00000000" w:rsidRPr="00000000" w14:paraId="00000037">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Now administered by the DOE Office of Energy Dominance Financing (EDF) under Title XXVI of the Energy Policy Act of 1992 (as amended by the IRA). TEFP — formerly known as the Tribal Energy Loan Guarantee Program (TELGP) — provides loan guarantees and direct lending up to $20 billion in authority for energy development on or off Tribal land for the benefit of a Tribe.</w:t>
      </w:r>
      <w:r w:rsidDel="00000000" w:rsidR="00000000" w:rsidRPr="00000000">
        <w:rPr>
          <w:rFonts w:ascii="Inter" w:cs="Inter" w:eastAsia="Inter" w:hAnsi="Inter"/>
          <w:color w:val="0563c1"/>
          <w:sz w:val="16"/>
          <w:szCs w:val="16"/>
          <w:vertAlign w:val="superscript"/>
          <w:rtl w:val="0"/>
        </w:rPr>
        <w:t xml:space="preserve">[13,14,24]</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Technology-neutral: covers nuclear, including advanced reactors and SMRs.</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Eligible borrowers: Indian Tribes, Tribal Energy Development Organizations (TEDOs), or lenders applying on behalf of Tribes.</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Statutory ceiling: TEFP can support up to 80% of eligible project costs (DOE Tribal Energy Financing Program FAQ). The actual debt/equity ratio is set based on project cash flow capacity for debt service.</w:t>
      </w:r>
      <w:r w:rsidDel="00000000" w:rsidR="00000000" w:rsidRPr="00000000">
        <w:rPr>
          <w:rFonts w:ascii="Inter" w:cs="Inter" w:eastAsia="Inter" w:hAnsi="Inter"/>
          <w:color w:val="0563c1"/>
          <w:sz w:val="16"/>
          <w:szCs w:val="16"/>
          <w:vertAlign w:val="superscript"/>
          <w:rtl w:val="0"/>
        </w:rPr>
        <w:t xml:space="preserve">[14]</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First closed transaction: $72.8M loan guarantee for the Viejas Microgrid project (Viejas Band of the Kumeyaay Indians, California) — solar-plus-storage, illustrative of TEFP capability.</w:t>
      </w:r>
      <w:r w:rsidDel="00000000" w:rsidR="00000000" w:rsidRPr="00000000">
        <w:rPr>
          <w:rFonts w:ascii="Inter" w:cs="Inter" w:eastAsia="Inter" w:hAnsi="Inter"/>
          <w:color w:val="0563c1"/>
          <w:sz w:val="16"/>
          <w:szCs w:val="16"/>
          <w:vertAlign w:val="superscript"/>
          <w:rtl w:val="0"/>
        </w:rPr>
        <w:t xml:space="preserve">[25]</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Working Families Tax Cut update: the previous "Federal Support Restriction" — which limited TEFP eligibility for projects already receiving other federal support — has been eliminated. TEFP loans can now stack more permissively with §48E ITC, Direct Pay, and DOE-IE grants.</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Note: P.L. 119-21 §50402 (OBBBA) rescinded unobligated IRA funds for TEFP, leaving approximately $10.5 million in remaining loan subsidy. Loan guarantee authority itself remains, but subsidy funds are limited.</w:t>
      </w:r>
      <w:r w:rsidDel="00000000" w:rsidR="00000000" w:rsidRPr="00000000">
        <w:rPr>
          <w:rFonts w:ascii="Inter" w:cs="Inter" w:eastAsia="Inter" w:hAnsi="Inter"/>
          <w:color w:val="0563c1"/>
          <w:sz w:val="16"/>
          <w:szCs w:val="16"/>
          <w:vertAlign w:val="superscript"/>
          <w:rtl w:val="0"/>
        </w:rPr>
        <w:t xml:space="preserve">[24,41,46]</w:t>
      </w:r>
      <w:r w:rsidDel="00000000" w:rsidR="00000000" w:rsidRPr="00000000">
        <w:rPr>
          <w:rtl w:val="0"/>
        </w:rPr>
      </w:r>
    </w:p>
    <w:p w:rsidR="00000000" w:rsidDel="00000000" w:rsidP="00000000" w:rsidRDefault="00000000" w:rsidRPr="00000000" w14:paraId="0000003E">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1.6 DOE Office of Indian Energy Grants</w:t>
      </w:r>
    </w:p>
    <w:p w:rsidR="00000000" w:rsidDel="00000000" w:rsidP="00000000" w:rsidRDefault="00000000" w:rsidRPr="00000000" w14:paraId="0000003F">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DOE Office of Indian Energy administers competitive grant programs for energy technology deployment on Tribal lands. The current cycle is the "Unleashing Tribal Energy Development" NOFO (DE-FOA-0003548), released March 25, 2026, which supersedes earlier 2025 funding announcements.</w:t>
      </w:r>
      <w:r w:rsidDel="00000000" w:rsidR="00000000" w:rsidRPr="00000000">
        <w:rPr>
          <w:rFonts w:ascii="Inter" w:cs="Inter" w:eastAsia="Inter" w:hAnsi="Inter"/>
          <w:color w:val="0563c1"/>
          <w:sz w:val="16"/>
          <w:szCs w:val="16"/>
          <w:vertAlign w:val="superscript"/>
          <w:rtl w:val="0"/>
        </w:rPr>
        <w:t xml:space="preserve">[10,12]</w:t>
      </w:r>
      <w:r w:rsidDel="00000000" w:rsidR="00000000" w:rsidRPr="00000000">
        <w:rPr>
          <w:rFonts w:ascii="Inter" w:cs="Inter" w:eastAsia="Inter" w:hAnsi="Inter"/>
          <w:sz w:val="16"/>
          <w:szCs w:val="16"/>
          <w:rtl w:val="0"/>
        </w:rPr>
        <w:t xml:space="preserve"> Key parameters: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Total program: $50 million; approximately 40 awards expected.</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Award range: $250,000 to $7,500,000 depending on Topic Area.</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Topic Area 1 — community-scale energy project construction/installation: up to $7.5M, 10% non-federal cost share.</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Topic Area 2 — community-scale pre-development/feasibility: up to $1.5M, 0% cost share.</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Topic Area 3 — large-scale planning, assessment, and feasibility (most relevant for Tribal nuclear projects): up to $2.5M, 0% cost share. Designed to support feasibility work that can later unlock TEFP financing.</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Application deadline: July 24, 2026 at 5:00 PM ET.</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Eligible applicants: Indian Tribes (including Alaska Native regional and village corporations), Tribal and intertribal organizations, TEDOs, Tribal Colleges and Universities, and consortia of these.</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Nuclear is explicitly listed as one of the eligible technology categories alongside geothermal, oil and gas, and critical minerals.</w:t>
      </w:r>
      <w:r w:rsidDel="00000000" w:rsidR="00000000" w:rsidRPr="00000000">
        <w:rPr>
          <w:rFonts w:ascii="Inter" w:cs="Inter" w:eastAsia="Inter" w:hAnsi="Inter"/>
          <w:color w:val="0563c1"/>
          <w:sz w:val="16"/>
          <w:szCs w:val="16"/>
          <w:vertAlign w:val="superscript"/>
          <w:rtl w:val="0"/>
        </w:rPr>
        <w:t xml:space="preserve">[12]</w:t>
      </w:r>
      <w:r w:rsidDel="00000000" w:rsidR="00000000" w:rsidRPr="00000000">
        <w:rPr>
          <w:rtl w:val="0"/>
        </w:rPr>
      </w:r>
    </w:p>
    <w:p w:rsidR="00000000" w:rsidDel="00000000" w:rsidP="00000000" w:rsidRDefault="00000000" w:rsidRPr="00000000" w14:paraId="00000048">
      <w:pPr>
        <w:spacing w:after="120" w:lineRule="auto"/>
        <w:rPr>
          <w:rFonts w:ascii="Inter" w:cs="Inter" w:eastAsia="Inter" w:hAnsi="Inter"/>
          <w:color w:val="0563c1"/>
          <w:sz w:val="16"/>
          <w:szCs w:val="16"/>
          <w:vertAlign w:val="superscript"/>
        </w:rPr>
      </w:pPr>
      <w:r w:rsidDel="00000000" w:rsidR="00000000" w:rsidRPr="00000000">
        <w:rPr>
          <w:rFonts w:ascii="Inter" w:cs="Inter" w:eastAsia="Inter" w:hAnsi="Inter"/>
          <w:sz w:val="16"/>
          <w:szCs w:val="16"/>
          <w:rtl w:val="0"/>
        </w:rPr>
        <w:t xml:space="preserve">Historical context: from 2010–2022, DOE Office of Indian Energy financial assistance totalled nearly $120 million for over 210 Tribal energy projects.</w:t>
      </w:r>
      <w:r w:rsidDel="00000000" w:rsidR="00000000" w:rsidRPr="00000000">
        <w:rPr>
          <w:rFonts w:ascii="Inter" w:cs="Inter" w:eastAsia="Inter" w:hAnsi="Inter"/>
          <w:color w:val="0563c1"/>
          <w:sz w:val="16"/>
          <w:szCs w:val="16"/>
          <w:vertAlign w:val="superscript"/>
          <w:rtl w:val="0"/>
        </w:rPr>
        <w:t xml:space="preserve">[11,24]</w:t>
      </w:r>
    </w:p>
    <w:p w:rsidR="00000000" w:rsidDel="00000000" w:rsidP="00000000" w:rsidRDefault="00000000" w:rsidRPr="00000000" w14:paraId="00000049">
      <w:pPr>
        <w:spacing w:after="120" w:lineRule="auto"/>
        <w:rPr>
          <w:rFonts w:ascii="Inter" w:cs="Inter" w:eastAsia="Inter" w:hAnsi="Inter"/>
          <w:sz w:val="16"/>
          <w:szCs w:val="16"/>
        </w:rPr>
      </w:pPr>
      <w:r w:rsidDel="00000000" w:rsidR="00000000" w:rsidRPr="00000000">
        <w:rPr>
          <w:rtl w:val="0"/>
        </w:rPr>
      </w:r>
    </w:p>
    <w:p w:rsidR="00000000" w:rsidDel="00000000" w:rsidP="00000000" w:rsidRDefault="00000000" w:rsidRPr="00000000" w14:paraId="0000004A">
      <w:pPr>
        <w:pStyle w:val="Heading1"/>
        <w:rPr>
          <w:rFonts w:ascii="Inter" w:cs="Inter" w:eastAsia="Inter" w:hAnsi="Inter"/>
          <w:sz w:val="20"/>
          <w:szCs w:val="20"/>
        </w:rPr>
      </w:pPr>
      <w:r w:rsidDel="00000000" w:rsidR="00000000" w:rsidRPr="00000000">
        <w:rPr>
          <w:rFonts w:ascii="Inter" w:cs="Inter" w:eastAsia="Inter" w:hAnsi="Inter"/>
          <w:sz w:val="20"/>
          <w:szCs w:val="20"/>
          <w:rtl w:val="0"/>
        </w:rPr>
        <w:t xml:space="preserve">2. Process for Obtaining the Benefits</w:t>
      </w:r>
    </w:p>
    <w:p w:rsidR="00000000" w:rsidDel="00000000" w:rsidP="00000000" w:rsidRDefault="00000000" w:rsidRPr="00000000" w14:paraId="0000004B">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2.1 Section 48E ITC and 45Y PTC — Self-Certification</w:t>
      </w:r>
    </w:p>
    <w:p w:rsidR="00000000" w:rsidDel="00000000" w:rsidP="00000000" w:rsidRDefault="00000000" w:rsidRPr="00000000" w14:paraId="0000004C">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base ITC, domestic content adder, and energy community adder are claimed by the taxpayer on the federal tax return (or via Direct Pay election) — they do not require a competitive application. The process is:</w:t>
      </w:r>
      <w:r w:rsidDel="00000000" w:rsidR="00000000" w:rsidRPr="00000000">
        <w:rPr>
          <w:rFonts w:ascii="Inter" w:cs="Inter" w:eastAsia="Inter" w:hAnsi="Inter"/>
          <w:color w:val="0563c1"/>
          <w:sz w:val="16"/>
          <w:szCs w:val="16"/>
          <w:vertAlign w:val="superscript"/>
          <w:rtl w:val="0"/>
        </w:rPr>
        <w:t xml:space="preserve">[5,18,49]</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Confirm facility eligibility: zero-GHG emissions rate, placed in service after Dec 31, 2024, begins construction before the relevant deadline.</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Begin construction: establish "begin construction" date using either (a) physical work of significant nature, or (b) the 5% safe harbor (incurring 5% or more of total project cost). Document with engineering plans, executed binding contracts, photographs.</w:t>
      </w: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Plan to meet PWA: implement prevailing wage payments and registered apprenticeship hours throughout construction and the alteration/repair window.</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Document domestic content: collect supplier certifications for steel, iron, and manufactured products. Track the manufactured product cost percentage.</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Document energy community status: secure brownfield assessment, coal-closure census tract evidence, or statistical-area employment/tax data — depending on which safe harbor applies.</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Pre-file registration via IRS Energy Credits Online (ECO) — required for Direct Pay or Transferability. Tribes must register the project and obtain a registration number before claiming the credit. Per IRS guidance, registration should be submitted at least 120 days before the intended tax return filing date to allow for processing.</w:t>
      </w:r>
      <w:r w:rsidDel="00000000" w:rsidR="00000000" w:rsidRPr="00000000">
        <w:rPr>
          <w:rFonts w:ascii="Inter" w:cs="Inter" w:eastAsia="Inter" w:hAnsi="Inter"/>
          <w:color w:val="0563c1"/>
          <w:sz w:val="16"/>
          <w:szCs w:val="16"/>
          <w:vertAlign w:val="superscript"/>
          <w:rtl w:val="0"/>
        </w:rPr>
        <w:t xml:space="preserve">[56]</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Place in service: facility must be capable of generating electricity for its intended purpose.</w:t>
      </w:r>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6"/>
          <w:szCs w:val="16"/>
          <w:rtl w:val="0"/>
        </w:rPr>
        <w:t xml:space="preserve">File Form 3468 (ITC) or Form 8835 (PTC) with the federal tax return (or Form 990-T with the §6417 elective payment election for tax-exempt Tribes).</w:t>
      </w:r>
      <w:r w:rsidDel="00000000" w:rsidR="00000000" w:rsidRPr="00000000">
        <w:rPr>
          <w:rFonts w:ascii="Inter" w:cs="Inter" w:eastAsia="Inter" w:hAnsi="Inter"/>
          <w:color w:val="0563c1"/>
          <w:sz w:val="16"/>
          <w:szCs w:val="16"/>
          <w:vertAlign w:val="superscript"/>
          <w:rtl w:val="0"/>
        </w:rPr>
        <w:t xml:space="preserve">[5,8,49</w:t>
      </w:r>
      <w:r w:rsidDel="00000000" w:rsidR="00000000" w:rsidRPr="00000000">
        <w:rPr>
          <w:rFonts w:ascii="Inter" w:cs="Inter" w:eastAsia="Inter" w:hAnsi="Inter"/>
          <w:color w:val="0563c1"/>
          <w:sz w:val="14"/>
          <w:szCs w:val="14"/>
          <w:vertAlign w:val="superscript"/>
          <w:rtl w:val="0"/>
        </w:rPr>
        <w:t xml:space="preserve">]</w:t>
      </w:r>
      <w:r w:rsidDel="00000000" w:rsidR="00000000" w:rsidRPr="00000000">
        <w:rPr>
          <w:rtl w:val="0"/>
        </w:rPr>
      </w:r>
    </w:p>
    <w:p w:rsidR="00000000" w:rsidDel="00000000" w:rsidP="00000000" w:rsidRDefault="00000000" w:rsidRPr="00000000" w14:paraId="00000055">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2.2 Section 48E(h) Indian Land Bonus — Competitive Application (Microreactors Only)</w:t>
      </w:r>
    </w:p>
    <w:p w:rsidR="00000000" w:rsidDel="00000000" w:rsidP="00000000" w:rsidRDefault="00000000" w:rsidRPr="00000000" w14:paraId="00000056">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+10% Indian Land bonus under §48E(h) requires a competitive application through the IRS Energy Credits Online portal, with DOE supporting the technical review. The 1.8 GW annual capacity limitation is divided among four categories:</w:t>
      </w:r>
      <w:r w:rsidDel="00000000" w:rsidR="00000000" w:rsidRPr="00000000">
        <w:rPr>
          <w:rFonts w:ascii="Inter" w:cs="Inter" w:eastAsia="Inter" w:hAnsi="Inter"/>
          <w:color w:val="0563c1"/>
          <w:sz w:val="16"/>
          <w:szCs w:val="16"/>
          <w:vertAlign w:val="superscript"/>
          <w:rtl w:val="0"/>
        </w:rPr>
        <w:t xml:space="preserve">[2,3,6,7]</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57">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58">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2026 Capacity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59">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Bonus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rPr>
                <w:rFonts w:ascii="Inter" w:cs="Inter" w:eastAsia="Inter" w:hAnsi="Inter"/>
                <w:sz w:val="16"/>
                <w:szCs w:val="16"/>
              </w:rPr>
            </w:pPr>
            <w:r w:rsidDel="00000000" w:rsidR="00000000" w:rsidRPr="00000000">
              <w:rPr>
                <w:rFonts w:ascii="Inter" w:cs="Inter" w:eastAsia="Inter" w:hAnsi="Inter"/>
                <w:sz w:val="16"/>
                <w:szCs w:val="16"/>
                <w:rtl w:val="0"/>
              </w:rPr>
              <w:t xml:space="preserve">Cat. 1 — Located in Low-Income Community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rPr>
                <w:rFonts w:ascii="Inter" w:cs="Inter" w:eastAsia="Inter" w:hAnsi="Inter"/>
                <w:sz w:val="16"/>
                <w:szCs w:val="16"/>
              </w:rPr>
            </w:pPr>
            <w:r w:rsidDel="00000000" w:rsidR="00000000" w:rsidRPr="00000000">
              <w:rPr>
                <w:rFonts w:ascii="Inter" w:cs="Inter" w:eastAsia="Inter" w:hAnsi="Inter"/>
                <w:sz w:val="16"/>
                <w:szCs w:val="16"/>
                <w:rtl w:val="0"/>
              </w:rPr>
              <w:t xml:space="preserve">600 MW</w:t>
            </w:r>
            <w:r w:rsidDel="00000000" w:rsidR="00000000" w:rsidRPr="00000000">
              <w:rPr>
                <w:rFonts w:ascii="Inter" w:cs="Inter" w:eastAsia="Inter" w:hAnsi="Inter"/>
                <w:color w:val="0563c1"/>
                <w:sz w:val="16"/>
                <w:szCs w:val="16"/>
                <w:vertAlign w:val="superscript"/>
                <w:rtl w:val="0"/>
              </w:rPr>
              <w:t xml:space="preserve">[2,3,6,7]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rPr>
                <w:rFonts w:ascii="Inter" w:cs="Inter" w:eastAsia="Inter" w:hAnsi="Inter"/>
                <w:sz w:val="16"/>
                <w:szCs w:val="16"/>
              </w:rPr>
            </w:pPr>
            <w:r w:rsidDel="00000000" w:rsidR="00000000" w:rsidRPr="00000000">
              <w:rPr>
                <w:rFonts w:ascii="Inter" w:cs="Inter" w:eastAsia="Inter" w:hAnsi="Inter"/>
                <w:sz w:val="16"/>
                <w:szCs w:val="16"/>
                <w:rtl w:val="0"/>
              </w:rPr>
              <w:t xml:space="preserve">+10 pp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rPr>
                <w:rFonts w:ascii="Inter" w:cs="Inter" w:eastAsia="Inter" w:hAnsi="Inter"/>
                <w:sz w:val="16"/>
                <w:szCs w:val="16"/>
              </w:rPr>
            </w:pPr>
            <w:r w:rsidDel="00000000" w:rsidR="00000000" w:rsidRPr="00000000">
              <w:rPr>
                <w:rFonts w:ascii="Inter" w:cs="Inter" w:eastAsia="Inter" w:hAnsi="Inter"/>
                <w:sz w:val="16"/>
                <w:szCs w:val="16"/>
                <w:rtl w:val="0"/>
              </w:rPr>
              <w:t xml:space="preserve">Cat. 2 — Located on Indian Land</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rFonts w:ascii="Inter" w:cs="Inter" w:eastAsia="Inter" w:hAnsi="Inter"/>
                <w:sz w:val="16"/>
                <w:szCs w:val="16"/>
              </w:rPr>
            </w:pPr>
            <w:r w:rsidDel="00000000" w:rsidR="00000000" w:rsidRPr="00000000">
              <w:rPr>
                <w:rFonts w:ascii="Inter" w:cs="Inter" w:eastAsia="Inter" w:hAnsi="Inter"/>
                <w:sz w:val="16"/>
                <w:szCs w:val="16"/>
                <w:rtl w:val="0"/>
              </w:rPr>
              <w:t xml:space="preserve">200 MW</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rFonts w:ascii="Inter" w:cs="Inter" w:eastAsia="Inter" w:hAnsi="Inter"/>
                <w:sz w:val="16"/>
                <w:szCs w:val="16"/>
              </w:rPr>
            </w:pPr>
            <w:r w:rsidDel="00000000" w:rsidR="00000000" w:rsidRPr="00000000">
              <w:rPr>
                <w:rFonts w:ascii="Inter" w:cs="Inter" w:eastAsia="Inter" w:hAnsi="Inter"/>
                <w:sz w:val="16"/>
                <w:szCs w:val="16"/>
                <w:rtl w:val="0"/>
              </w:rPr>
              <w:t xml:space="preserve">+10 pp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0">
            <w:pPr>
              <w:rPr>
                <w:rFonts w:ascii="Inter" w:cs="Inter" w:eastAsia="Inter" w:hAnsi="Inter"/>
                <w:sz w:val="16"/>
                <w:szCs w:val="16"/>
              </w:rPr>
            </w:pPr>
            <w:r w:rsidDel="00000000" w:rsidR="00000000" w:rsidRPr="00000000">
              <w:rPr>
                <w:rFonts w:ascii="Inter" w:cs="Inter" w:eastAsia="Inter" w:hAnsi="Inter"/>
                <w:sz w:val="16"/>
                <w:szCs w:val="16"/>
                <w:rtl w:val="0"/>
              </w:rPr>
              <w:t xml:space="preserve">Cat. 3 — Qualified Low-Income Residential Building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1">
            <w:pPr>
              <w:rPr>
                <w:rFonts w:ascii="Inter" w:cs="Inter" w:eastAsia="Inter" w:hAnsi="Inter"/>
                <w:sz w:val="16"/>
                <w:szCs w:val="16"/>
              </w:rPr>
            </w:pPr>
            <w:r w:rsidDel="00000000" w:rsidR="00000000" w:rsidRPr="00000000">
              <w:rPr>
                <w:rFonts w:ascii="Inter" w:cs="Inter" w:eastAsia="Inter" w:hAnsi="Inter"/>
                <w:sz w:val="16"/>
                <w:szCs w:val="16"/>
                <w:rtl w:val="0"/>
              </w:rPr>
              <w:t xml:space="preserve">200 MW</w:t>
            </w:r>
            <w:r w:rsidDel="00000000" w:rsidR="00000000" w:rsidRPr="00000000">
              <w:rPr>
                <w:rFonts w:ascii="Inter" w:cs="Inter" w:eastAsia="Inter" w:hAnsi="Inter"/>
                <w:color w:val="0563c1"/>
                <w:sz w:val="16"/>
                <w:szCs w:val="16"/>
                <w:vertAlign w:val="superscript"/>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2">
            <w:pPr>
              <w:rPr>
                <w:rFonts w:ascii="Inter" w:cs="Inter" w:eastAsia="Inter" w:hAnsi="Inter"/>
                <w:sz w:val="16"/>
                <w:szCs w:val="16"/>
              </w:rPr>
            </w:pPr>
            <w:r w:rsidDel="00000000" w:rsidR="00000000" w:rsidRPr="00000000">
              <w:rPr>
                <w:rFonts w:ascii="Inter" w:cs="Inter" w:eastAsia="Inter" w:hAnsi="Inter"/>
                <w:sz w:val="16"/>
                <w:szCs w:val="16"/>
                <w:rtl w:val="0"/>
              </w:rPr>
              <w:t xml:space="preserve">+20 pp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rFonts w:ascii="Inter" w:cs="Inter" w:eastAsia="Inter" w:hAnsi="Inter"/>
                <w:sz w:val="16"/>
                <w:szCs w:val="16"/>
              </w:rPr>
            </w:pPr>
            <w:r w:rsidDel="00000000" w:rsidR="00000000" w:rsidRPr="00000000">
              <w:rPr>
                <w:rFonts w:ascii="Inter" w:cs="Inter" w:eastAsia="Inter" w:hAnsi="Inter"/>
                <w:sz w:val="16"/>
                <w:szCs w:val="16"/>
                <w:rtl w:val="0"/>
              </w:rPr>
              <w:t xml:space="preserve">Cat. 4 — Qualified Low-Income Economic Benefit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rFonts w:ascii="Inter" w:cs="Inter" w:eastAsia="Inter" w:hAnsi="Inter"/>
                <w:sz w:val="16"/>
                <w:szCs w:val="16"/>
              </w:rPr>
            </w:pPr>
            <w:r w:rsidDel="00000000" w:rsidR="00000000" w:rsidRPr="00000000">
              <w:rPr>
                <w:rFonts w:ascii="Inter" w:cs="Inter" w:eastAsia="Inter" w:hAnsi="Inter"/>
                <w:sz w:val="16"/>
                <w:szCs w:val="16"/>
                <w:rtl w:val="0"/>
              </w:rPr>
              <w:t xml:space="preserve">800 MW</w:t>
            </w:r>
            <w:r w:rsidDel="00000000" w:rsidR="00000000" w:rsidRPr="00000000">
              <w:rPr>
                <w:rFonts w:ascii="Inter" w:cs="Inter" w:eastAsia="Inter" w:hAnsi="Inter"/>
                <w:color w:val="0563c1"/>
                <w:sz w:val="16"/>
                <w:szCs w:val="16"/>
                <w:vertAlign w:val="superscript"/>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rFonts w:ascii="Inter" w:cs="Inter" w:eastAsia="Inter" w:hAnsi="Inter"/>
                <w:sz w:val="16"/>
                <w:szCs w:val="16"/>
              </w:rPr>
            </w:pPr>
            <w:r w:rsidDel="00000000" w:rsidR="00000000" w:rsidRPr="00000000">
              <w:rPr>
                <w:rFonts w:ascii="Inter" w:cs="Inter" w:eastAsia="Inter" w:hAnsi="Inter"/>
                <w:sz w:val="16"/>
                <w:szCs w:val="16"/>
                <w:rtl w:val="0"/>
              </w:rPr>
              <w:t xml:space="preserve">+20 pp</w:t>
            </w:r>
          </w:p>
        </w:tc>
      </w:tr>
    </w:tbl>
    <w:p w:rsidR="00000000" w:rsidDel="00000000" w:rsidP="00000000" w:rsidRDefault="00000000" w:rsidRPr="00000000" w14:paraId="00000066">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Application steps: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Confirm size eligibility: facility must have net output under 5 MW (microreactor scale).</w:t>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Establish project maturity documentation: site control, interconnection application or executed agreement, permitting in process. For projects on Tribal land, Tribal resolutions or Notice to Proceed from the Tribal governing authority are accepted in lieu of typical PPAs.</w:t>
      </w:r>
      <w:r w:rsidDel="00000000" w:rsidR="00000000" w:rsidRPr="00000000">
        <w:rPr>
          <w:rFonts w:ascii="Inter" w:cs="Inter" w:eastAsia="Inter" w:hAnsi="Inter"/>
          <w:color w:val="0563c1"/>
          <w:sz w:val="16"/>
          <w:szCs w:val="16"/>
          <w:vertAlign w:val="superscript"/>
          <w:rtl w:val="0"/>
        </w:rPr>
        <w:t xml:space="preserve">[7,8]</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Create Login.gov account and register at the IRS Energy Credits Online portal.</w:t>
      </w: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Submit application during the 2026 program window: opens Feb 2, 2026, 9:00 a.m. ET; closes Aug 7, 2026, 11:59 p.m. ET.</w:t>
      </w:r>
      <w:r w:rsidDel="00000000" w:rsidR="00000000" w:rsidRPr="00000000">
        <w:rPr>
          <w:rFonts w:ascii="Inter" w:cs="Inter" w:eastAsia="Inter" w:hAnsi="Inter"/>
          <w:color w:val="0563c1"/>
          <w:sz w:val="16"/>
          <w:szCs w:val="16"/>
          <w:vertAlign w:val="superscript"/>
          <w:rtl w:val="0"/>
        </w:rPr>
        <w:t xml:space="preserve">[3,6,7]</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First-30-day randomization: applications received in the initial 30 days are treated as submitted simultaneously and randomized within the relevant category.</w:t>
      </w: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Receive allocation letter from DOE/IRS (typically within 60 days of submission).</w:t>
      </w:r>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Place facility in service within 4 years of allocation (extendable in limited circumstances).</w:t>
      </w:r>
      <w:r w:rsidDel="00000000" w:rsidR="00000000" w:rsidRPr="00000000">
        <w:rPr>
          <w:rFonts w:ascii="Inter" w:cs="Inter" w:eastAsia="Inter" w:hAnsi="Inter"/>
          <w:color w:val="0563c1"/>
          <w:sz w:val="16"/>
          <w:szCs w:val="16"/>
          <w:vertAlign w:val="superscript"/>
          <w:rtl w:val="0"/>
        </w:rPr>
        <w:t xml:space="preserve">[3,6,7]</w:t>
      </w: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Report placed-in-service to IRS to claim the bonus on the tax return.</w:t>
      </w:r>
      <w:r w:rsidDel="00000000" w:rsidR="00000000" w:rsidRPr="00000000">
        <w:rPr>
          <w:rtl w:val="0"/>
        </w:rPr>
      </w:r>
    </w:p>
    <w:p w:rsidR="00000000" w:rsidDel="00000000" w:rsidP="00000000" w:rsidRDefault="00000000" w:rsidRPr="00000000" w14:paraId="0000006F">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2.3 DOE TEFP Loan Guarantee — Application Process</w:t>
      </w:r>
    </w:p>
    <w:p w:rsidR="00000000" w:rsidDel="00000000" w:rsidP="00000000" w:rsidRDefault="00000000" w:rsidRPr="00000000" w14:paraId="00000070">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TEFP applications are submitted to the DOE Loan Programs Office. The process is multi-stage:</w:t>
      </w:r>
      <w:r w:rsidDel="00000000" w:rsidR="00000000" w:rsidRPr="00000000">
        <w:rPr>
          <w:rFonts w:ascii="Inter" w:cs="Inter" w:eastAsia="Inter" w:hAnsi="Inter"/>
          <w:color w:val="0563c1"/>
          <w:sz w:val="16"/>
          <w:szCs w:val="16"/>
          <w:vertAlign w:val="superscript"/>
          <w:rtl w:val="0"/>
        </w:rPr>
        <w:t xml:space="preserve">[14]</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Pre-application engagement: meet with LPO Outreach and Business Development team to discuss project scope, financing structure, and Tribal involvement.</w:t>
      </w:r>
      <w:r w:rsidDel="00000000" w:rsidR="00000000" w:rsidRPr="00000000">
        <w:rPr>
          <w:rFonts w:ascii="Inter" w:cs="Inter" w:eastAsia="Inter" w:hAnsi="Inter"/>
          <w:color w:val="0563c1"/>
          <w:sz w:val="16"/>
          <w:szCs w:val="16"/>
          <w:vertAlign w:val="superscript"/>
          <w:rtl w:val="0"/>
        </w:rPr>
        <w:t xml:space="preserve">[14]</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Part I application: project summary, eligibility documentation, technical and financial overview. LPO issues a Part I invitation if the project is a candidate.</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Part II application: detailed technical, financial, environmental, and legal due diligence package; credit underwriting begins.</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Conditional commitment: LPO and DOE issue a conditional commitment letter, subject to satisfaction of conditions precedent.</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Financial close: documentation, NEPA compliance, and loan agreement execution.</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Per the Sep 2025 GAO report, the median time-in-process from application to closing has historically been multi-year; potential applicants should plan accordingly.</w:t>
      </w:r>
      <w:r w:rsidDel="00000000" w:rsidR="00000000" w:rsidRPr="00000000">
        <w:rPr>
          <w:rFonts w:ascii="Inter" w:cs="Inter" w:eastAsia="Inter" w:hAnsi="Inter"/>
          <w:color w:val="0563c1"/>
          <w:sz w:val="16"/>
          <w:szCs w:val="16"/>
          <w:vertAlign w:val="superscript"/>
          <w:rtl w:val="0"/>
        </w:rPr>
        <w:t xml:space="preserve">[25]</w:t>
      </w:r>
      <w:r w:rsidDel="00000000" w:rsidR="00000000" w:rsidRPr="00000000">
        <w:rPr>
          <w:rtl w:val="0"/>
        </w:rPr>
      </w:r>
    </w:p>
    <w:p w:rsidR="00000000" w:rsidDel="00000000" w:rsidP="00000000" w:rsidRDefault="00000000" w:rsidRPr="00000000" w14:paraId="00000077">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2.4 DOE Office of Indian Energy Grants</w:t>
      </w:r>
    </w:p>
    <w:p w:rsidR="00000000" w:rsidDel="00000000" w:rsidP="00000000" w:rsidRDefault="00000000" w:rsidRPr="00000000" w14:paraId="00000078">
      <w:pPr>
        <w:spacing w:after="120" w:lineRule="auto"/>
        <w:rPr>
          <w:rFonts w:ascii="Inter" w:cs="Inter" w:eastAsia="Inter" w:hAnsi="Inter"/>
          <w:color w:val="0563c1"/>
          <w:sz w:val="16"/>
          <w:szCs w:val="16"/>
          <w:vertAlign w:val="superscript"/>
        </w:rPr>
      </w:pPr>
      <w:r w:rsidDel="00000000" w:rsidR="00000000" w:rsidRPr="00000000">
        <w:rPr>
          <w:rFonts w:ascii="Inter" w:cs="Inter" w:eastAsia="Inter" w:hAnsi="Inter"/>
          <w:sz w:val="16"/>
          <w:szCs w:val="16"/>
          <w:rtl w:val="0"/>
        </w:rPr>
        <w:t xml:space="preserve">Grants are awarded through Notice of Funding Opportunity (NOFO) cycles via the DOE IE-Exchange portal. Applications are typically due about 90 days after NOFO release. Cost share is set per NOFO. Under the current 2026 NOFO, TA1 requires 10% non-federal cost share; TA2 and TA3 require none. Historically the statutory default was 50%, reducible to 10% per Section 8013 of the Energy Act of 2020.".</w:t>
      </w:r>
      <w:r w:rsidDel="00000000" w:rsidR="00000000" w:rsidRPr="00000000">
        <w:rPr>
          <w:rFonts w:ascii="Inter" w:cs="Inter" w:eastAsia="Inter" w:hAnsi="Inter"/>
          <w:color w:val="0563c1"/>
          <w:sz w:val="16"/>
          <w:szCs w:val="16"/>
          <w:vertAlign w:val="superscript"/>
          <w:rtl w:val="0"/>
        </w:rPr>
        <w:t xml:space="preserve">[12,24]</w:t>
      </w:r>
    </w:p>
    <w:p w:rsidR="00000000" w:rsidDel="00000000" w:rsidP="00000000" w:rsidRDefault="00000000" w:rsidRPr="00000000" w14:paraId="00000079">
      <w:pPr>
        <w:spacing w:after="120" w:lineRule="auto"/>
        <w:rPr>
          <w:rFonts w:ascii="Inter" w:cs="Inter" w:eastAsia="Inter" w:hAnsi="Inter"/>
          <w:color w:val="0563c1"/>
          <w:sz w:val="14"/>
          <w:szCs w:val="14"/>
          <w:vertAlign w:val="superscript"/>
        </w:rPr>
      </w:pPr>
      <w:r w:rsidDel="00000000" w:rsidR="00000000" w:rsidRPr="00000000">
        <w:rPr>
          <w:rtl w:val="0"/>
        </w:rPr>
      </w:r>
    </w:p>
    <w:p w:rsidR="00000000" w:rsidDel="00000000" w:rsidP="00000000" w:rsidRDefault="00000000" w:rsidRPr="00000000" w14:paraId="0000007A">
      <w:pPr>
        <w:pStyle w:val="Heading1"/>
        <w:rPr>
          <w:rFonts w:ascii="Inter" w:cs="Inter" w:eastAsia="Inter" w:hAnsi="Inter"/>
          <w:sz w:val="20"/>
          <w:szCs w:val="20"/>
        </w:rPr>
      </w:pPr>
      <w:r w:rsidDel="00000000" w:rsidR="00000000" w:rsidRPr="00000000">
        <w:rPr>
          <w:rFonts w:ascii="Inter" w:cs="Inter" w:eastAsia="Inter" w:hAnsi="Inter"/>
          <w:sz w:val="20"/>
          <w:szCs w:val="20"/>
          <w:rtl w:val="0"/>
        </w:rPr>
        <w:t xml:space="preserve">3. Requirements, Deadlines, and Constraints</w:t>
      </w:r>
    </w:p>
    <w:p w:rsidR="00000000" w:rsidDel="00000000" w:rsidP="00000000" w:rsidRDefault="00000000" w:rsidRPr="00000000" w14:paraId="0000007B">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3.1 Statutory Begin-Construction Deadlines (post-OBBBA)</w:t>
      </w:r>
    </w:p>
    <w:tbl>
      <w:tblPr>
        <w:tblStyle w:val="Table3"/>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213"/>
        <w:tblGridChange w:id="0">
          <w:tblGrid>
            <w:gridCol w:w="3120"/>
            <w:gridCol w:w="2080"/>
            <w:gridCol w:w="2080"/>
            <w:gridCol w:w="22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7C">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Begin-Construction Year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7D">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Nuclear ITC/PTC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7E">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Wind / Solar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20.0" w:type="dxa"/>
              <w:bottom w:w="100.0" w:type="dxa"/>
              <w:right w:w="120.0" w:type="dxa"/>
            </w:tcMar>
          </w:tcPr>
          <w:p w:rsidR="00000000" w:rsidDel="00000000" w:rsidP="00000000" w:rsidRDefault="00000000" w:rsidRPr="00000000" w14:paraId="0000007F">
            <w:pPr>
              <w:rPr>
                <w:rFonts w:ascii="Inter" w:cs="Inter" w:eastAsia="Inter" w:hAnsi="Inter"/>
                <w:sz w:val="16"/>
                <w:szCs w:val="16"/>
              </w:rPr>
            </w:pPr>
            <w:r w:rsidDel="00000000" w:rsidR="00000000" w:rsidRPr="00000000">
              <w:rPr>
                <w:rFonts w:ascii="Inter" w:cs="Inter" w:eastAsia="Inter" w:hAnsi="Inter"/>
                <w:b w:val="1"/>
                <w:bCs w:val="1"/>
                <w:color w:val="ffffff"/>
                <w:sz w:val="16"/>
                <w:szCs w:val="16"/>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0">
            <w:pPr>
              <w:rPr>
                <w:rFonts w:ascii="Inter" w:cs="Inter" w:eastAsia="Inter" w:hAnsi="Inter"/>
                <w:sz w:val="16"/>
                <w:szCs w:val="16"/>
              </w:rPr>
            </w:pPr>
            <w:r w:rsidDel="00000000" w:rsidR="00000000" w:rsidRPr="00000000">
              <w:rPr>
                <w:rFonts w:ascii="Inter" w:cs="Inter" w:eastAsia="Inter" w:hAnsi="Inter"/>
                <w:sz w:val="16"/>
                <w:szCs w:val="16"/>
                <w:rtl w:val="0"/>
              </w:rPr>
              <w:t xml:space="preserve">Through 2033</w:t>
            </w:r>
            <w:r w:rsidDel="00000000" w:rsidR="00000000" w:rsidRPr="00000000">
              <w:rPr>
                <w:rFonts w:ascii="Inter" w:cs="Inter" w:eastAsia="Inter" w:hAnsi="Inter"/>
                <w:color w:val="0563c1"/>
                <w:sz w:val="16"/>
                <w:szCs w:val="16"/>
                <w:vertAlign w:val="superscript"/>
                <w:rtl w:val="0"/>
              </w:rPr>
              <w:t xml:space="preserve">[41,43,44,45]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1">
            <w:pPr>
              <w:rPr>
                <w:rFonts w:ascii="Inter" w:cs="Inter" w:eastAsia="Inter" w:hAnsi="Inter"/>
                <w:sz w:val="16"/>
                <w:szCs w:val="16"/>
              </w:rPr>
            </w:pPr>
            <w:r w:rsidDel="00000000" w:rsidR="00000000" w:rsidRPr="00000000">
              <w:rPr>
                <w:rFonts w:ascii="Inter" w:cs="Inter" w:eastAsia="Inter" w:hAnsi="Inter"/>
                <w:sz w:val="16"/>
                <w:szCs w:val="16"/>
                <w:rtl w:val="0"/>
              </w:rPr>
              <w:t xml:space="preserve">100%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2">
            <w:pPr>
              <w:rPr>
                <w:rFonts w:ascii="Inter" w:cs="Inter" w:eastAsia="Inter" w:hAnsi="Inter"/>
                <w:sz w:val="16"/>
                <w:szCs w:val="16"/>
              </w:rPr>
            </w:pPr>
            <w:r w:rsidDel="00000000" w:rsidR="00000000" w:rsidRPr="00000000">
              <w:rPr>
                <w:rFonts w:ascii="Inter" w:cs="Inter" w:eastAsia="Inter" w:hAnsi="Inter"/>
                <w:sz w:val="16"/>
                <w:szCs w:val="16"/>
                <w:rtl w:val="0"/>
              </w:rPr>
              <w:t xml:space="preserve">Phased out earlier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3">
            <w:pPr>
              <w:rPr>
                <w:rFonts w:ascii="Inter" w:cs="Inter" w:eastAsia="Inter" w:hAnsi="Inter"/>
                <w:sz w:val="16"/>
                <w:szCs w:val="16"/>
              </w:rPr>
            </w:pPr>
            <w:r w:rsidDel="00000000" w:rsidR="00000000" w:rsidRPr="00000000">
              <w:rPr>
                <w:rFonts w:ascii="Inter" w:cs="Inter" w:eastAsia="Inter" w:hAnsi="Inter"/>
                <w:sz w:val="16"/>
                <w:szCs w:val="16"/>
                <w:rtl w:val="0"/>
              </w:rPr>
              <w:t xml:space="preserve">Full credit value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rPr>
                <w:rFonts w:ascii="Inter" w:cs="Inter" w:eastAsia="Inter" w:hAnsi="Inter"/>
                <w:sz w:val="16"/>
                <w:szCs w:val="16"/>
              </w:rPr>
            </w:pPr>
            <w:r w:rsidDel="00000000" w:rsidR="00000000" w:rsidRPr="00000000">
              <w:rPr>
                <w:rFonts w:ascii="Inter" w:cs="Inter" w:eastAsia="Inter" w:hAnsi="Inter"/>
                <w:sz w:val="16"/>
                <w:szCs w:val="16"/>
                <w:rtl w:val="0"/>
              </w:rPr>
              <w:t xml:space="preserve">2034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rFonts w:ascii="Inter" w:cs="Inter" w:eastAsia="Inter" w:hAnsi="Inter"/>
                <w:sz w:val="16"/>
                <w:szCs w:val="16"/>
              </w:rPr>
            </w:pPr>
            <w:r w:rsidDel="00000000" w:rsidR="00000000" w:rsidRPr="00000000">
              <w:rPr>
                <w:rFonts w:ascii="Inter" w:cs="Inter" w:eastAsia="Inter" w:hAnsi="Inter"/>
                <w:sz w:val="16"/>
                <w:szCs w:val="16"/>
                <w:rtl w:val="0"/>
              </w:rPr>
              <w:t xml:space="preserve">75%</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rFonts w:ascii="Inter" w:cs="Inter" w:eastAsia="Inter" w:hAnsi="Inter"/>
                <w:sz w:val="16"/>
                <w:szCs w:val="16"/>
              </w:rPr>
            </w:pPr>
            <w:r w:rsidDel="00000000" w:rsidR="00000000" w:rsidRPr="00000000">
              <w:rPr>
                <w:rFonts w:ascii="Inter" w:cs="Inter" w:eastAsia="Inter" w:hAnsi="Inter"/>
                <w:sz w:val="16"/>
                <w:szCs w:val="16"/>
                <w:rtl w:val="0"/>
              </w:rPr>
              <w:t xml:space="preserve">0%</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rFonts w:ascii="Inter" w:cs="Inter" w:eastAsia="Inter" w:hAnsi="Inter"/>
                <w:sz w:val="16"/>
                <w:szCs w:val="16"/>
              </w:rPr>
            </w:pPr>
            <w:r w:rsidDel="00000000" w:rsidR="00000000" w:rsidRPr="00000000">
              <w:rPr>
                <w:rFonts w:ascii="Inter" w:cs="Inter" w:eastAsia="Inter" w:hAnsi="Inter"/>
                <w:sz w:val="16"/>
                <w:szCs w:val="16"/>
                <w:rtl w:val="0"/>
              </w:rPr>
              <w:t xml:space="preserve">First phasedown step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rFonts w:ascii="Inter" w:cs="Inter" w:eastAsia="Inter" w:hAnsi="Inter"/>
                <w:sz w:val="16"/>
                <w:szCs w:val="16"/>
              </w:rPr>
            </w:pPr>
            <w:r w:rsidDel="00000000" w:rsidR="00000000" w:rsidRPr="00000000">
              <w:rPr>
                <w:rFonts w:ascii="Inter" w:cs="Inter" w:eastAsia="Inter" w:hAnsi="Inter"/>
                <w:sz w:val="16"/>
                <w:szCs w:val="16"/>
                <w:rtl w:val="0"/>
              </w:rPr>
              <w:t xml:space="preserve">2035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rPr>
                <w:rFonts w:ascii="Inter" w:cs="Inter" w:eastAsia="Inter" w:hAnsi="Inter"/>
                <w:sz w:val="16"/>
                <w:szCs w:val="16"/>
              </w:rPr>
            </w:pPr>
            <w:r w:rsidDel="00000000" w:rsidR="00000000" w:rsidRPr="00000000">
              <w:rPr>
                <w:rFonts w:ascii="Inter" w:cs="Inter" w:eastAsia="Inter" w:hAnsi="Inter"/>
                <w:sz w:val="16"/>
                <w:szCs w:val="16"/>
                <w:rtl w:val="0"/>
              </w:rPr>
              <w:t xml:space="preserve">50%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rPr>
                <w:rFonts w:ascii="Inter" w:cs="Inter" w:eastAsia="Inter" w:hAnsi="Inter"/>
                <w:sz w:val="16"/>
                <w:szCs w:val="16"/>
              </w:rPr>
            </w:pPr>
            <w:r w:rsidDel="00000000" w:rsidR="00000000" w:rsidRPr="00000000">
              <w:rPr>
                <w:rFonts w:ascii="Inter" w:cs="Inter" w:eastAsia="Inter" w:hAnsi="Inter"/>
                <w:sz w:val="16"/>
                <w:szCs w:val="16"/>
                <w:rtl w:val="0"/>
              </w:rPr>
              <w:t xml:space="preserve">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rPr>
                <w:rFonts w:ascii="Inter" w:cs="Inter" w:eastAsia="Inter" w:hAnsi="Inter"/>
                <w:sz w:val="16"/>
                <w:szCs w:val="16"/>
              </w:rPr>
            </w:pPr>
            <w:r w:rsidDel="00000000" w:rsidR="00000000" w:rsidRPr="00000000">
              <w:rPr>
                <w:rFonts w:ascii="Inter" w:cs="Inter" w:eastAsia="Inter" w:hAnsi="Inter"/>
                <w:sz w:val="16"/>
                <w:szCs w:val="16"/>
                <w:rtl w:val="0"/>
              </w:rPr>
              <w:t xml:space="preserve">Second phasedown step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rPr>
                <w:rFonts w:ascii="Inter" w:cs="Inter" w:eastAsia="Inter" w:hAnsi="Inter"/>
                <w:sz w:val="16"/>
                <w:szCs w:val="16"/>
              </w:rPr>
            </w:pPr>
            <w:r w:rsidDel="00000000" w:rsidR="00000000" w:rsidRPr="00000000">
              <w:rPr>
                <w:rFonts w:ascii="Inter" w:cs="Inter" w:eastAsia="Inter" w:hAnsi="Inter"/>
                <w:sz w:val="16"/>
                <w:szCs w:val="16"/>
                <w:rtl w:val="0"/>
              </w:rPr>
              <w:t xml:space="preserve">2036+</w:t>
            </w:r>
            <w:r w:rsidDel="00000000" w:rsidR="00000000" w:rsidRPr="00000000">
              <w:rPr>
                <w:rFonts w:ascii="Inter" w:cs="Inter" w:eastAsia="Inter" w:hAnsi="Inter"/>
                <w:color w:val="0563c1"/>
                <w:sz w:val="16"/>
                <w:szCs w:val="16"/>
                <w:vertAlign w:val="superscript"/>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rFonts w:ascii="Inter" w:cs="Inter" w:eastAsia="Inter" w:hAnsi="Inter"/>
                <w:sz w:val="16"/>
                <w:szCs w:val="16"/>
              </w:rPr>
            </w:pPr>
            <w:r w:rsidDel="00000000" w:rsidR="00000000" w:rsidRPr="00000000">
              <w:rPr>
                <w:rFonts w:ascii="Inter" w:cs="Inter" w:eastAsia="Inter" w:hAnsi="Inter"/>
                <w:sz w:val="16"/>
                <w:szCs w:val="16"/>
                <w:rtl w:val="0"/>
              </w:rPr>
              <w:t xml:space="preserve">0%</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rFonts w:ascii="Inter" w:cs="Inter" w:eastAsia="Inter" w:hAnsi="Inter"/>
                <w:sz w:val="16"/>
                <w:szCs w:val="16"/>
              </w:rPr>
            </w:pPr>
            <w:r w:rsidDel="00000000" w:rsidR="00000000" w:rsidRPr="00000000">
              <w:rPr>
                <w:rFonts w:ascii="Inter" w:cs="Inter" w:eastAsia="Inter" w:hAnsi="Inter"/>
                <w:sz w:val="16"/>
                <w:szCs w:val="16"/>
                <w:rtl w:val="0"/>
              </w:rPr>
              <w:t xml:space="preserve">0%</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rFonts w:ascii="Inter" w:cs="Inter" w:eastAsia="Inter" w:hAnsi="Inter"/>
                <w:sz w:val="16"/>
                <w:szCs w:val="16"/>
              </w:rPr>
            </w:pPr>
            <w:r w:rsidDel="00000000" w:rsidR="00000000" w:rsidRPr="00000000">
              <w:rPr>
                <w:rFonts w:ascii="Inter" w:cs="Inter" w:eastAsia="Inter" w:hAnsi="Inter"/>
                <w:sz w:val="16"/>
                <w:szCs w:val="16"/>
                <w:rtl w:val="0"/>
              </w:rPr>
              <w:t xml:space="preserve">Credit terminated</w:t>
            </w:r>
          </w:p>
        </w:tc>
      </w:tr>
    </w:tbl>
    <w:p w:rsidR="00000000" w:rsidDel="00000000" w:rsidP="00000000" w:rsidRDefault="00000000" w:rsidRPr="00000000" w14:paraId="00000090">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3.2 Prevailing Wage &amp; Apprenticeship (PWA)</w:t>
      </w:r>
    </w:p>
    <w:p w:rsidR="00000000" w:rsidDel="00000000" w:rsidP="00000000" w:rsidRDefault="00000000" w:rsidRPr="00000000" w14:paraId="00000091">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Failure to meet PWA reduces the base 30% credit to 6%. Requirements:</w:t>
      </w:r>
      <w:r w:rsidDel="00000000" w:rsidR="00000000" w:rsidRPr="00000000">
        <w:rPr>
          <w:rFonts w:ascii="Inter" w:cs="Inter" w:eastAsia="Inter" w:hAnsi="Inter"/>
          <w:color w:val="0563c1"/>
          <w:sz w:val="16"/>
          <w:szCs w:val="16"/>
          <w:vertAlign w:val="superscript"/>
          <w:rtl w:val="0"/>
        </w:rPr>
        <w:t xml:space="preserve">[19]</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Prevailing wage: all laborers and mechanics employed by the taxpayer, contractors, and subcontractors must be paid Davis-Bacon prevailing wages during construction and during alteration/repair within the 5-year recapture period (10-year for PTC).</w:t>
      </w:r>
      <w:r w:rsidDel="00000000" w:rsidR="00000000" w:rsidRPr="00000000">
        <w:rPr>
          <w:rFonts w:ascii="Inter" w:cs="Inter" w:eastAsia="Inter" w:hAnsi="Inter"/>
          <w:color w:val="0563c1"/>
          <w:sz w:val="16"/>
          <w:szCs w:val="16"/>
          <w:vertAlign w:val="superscript"/>
          <w:rtl w:val="0"/>
        </w:rPr>
        <w:t xml:space="preserve">[19]</w:t>
      </w: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Apprenticeship: a minimum percentage of total labor hours (15% for projects beginning construction in 2024+) must be performed by qualified apprentices from registered apprenticeship programs.</w:t>
      </w:r>
      <w:r w:rsidDel="00000000" w:rsidR="00000000" w:rsidRPr="00000000">
        <w:rPr>
          <w:rFonts w:ascii="Inter" w:cs="Inter" w:eastAsia="Inter" w:hAnsi="Inter"/>
          <w:color w:val="0563c1"/>
          <w:sz w:val="16"/>
          <w:szCs w:val="16"/>
          <w:vertAlign w:val="superscript"/>
          <w:rtl w:val="0"/>
        </w:rPr>
        <w:t xml:space="preserve">[19]</w:t>
      </w: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Cure provisions: missed PWA can be cured via back wages plus interest, plus a $5,000-per-worker penalty (or higher for intentional disregard).</w:t>
      </w:r>
      <w:r w:rsidDel="00000000" w:rsidR="00000000" w:rsidRPr="00000000">
        <w:rPr>
          <w:rFonts w:ascii="Inter" w:cs="Inter" w:eastAsia="Inter" w:hAnsi="Inter"/>
          <w:color w:val="0563c1"/>
          <w:sz w:val="16"/>
          <w:szCs w:val="16"/>
          <w:vertAlign w:val="superscript"/>
          <w:rtl w:val="0"/>
        </w:rPr>
        <w:t xml:space="preserve">[19]</w:t>
      </w: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Small-facility exemption: facilities with maximum net output under 1 MW are statutorily exempt from PWA requirements and automatically receive the full 30% ITC base rate. This exemption is mostly relevant for ultra-small microreactor pilots — typical Tribal microreactor designs in the 3–5 MWe range do not qualify.</w:t>
      </w:r>
      <w:r w:rsidDel="00000000" w:rsidR="00000000" w:rsidRPr="00000000">
        <w:rPr>
          <w:rFonts w:ascii="Inter" w:cs="Inter" w:eastAsia="Inter" w:hAnsi="Inter"/>
          <w:color w:val="0563c1"/>
          <w:sz w:val="16"/>
          <w:szCs w:val="16"/>
          <w:vertAlign w:val="superscript"/>
          <w:rtl w:val="0"/>
        </w:rPr>
        <w:t xml:space="preserve">[19]</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lineRule="auto"/>
        <w:ind w:left="720" w:firstLine="0"/>
        <w:rPr>
          <w:rFonts w:ascii="Inter" w:cs="Inter" w:eastAsia="Inter" w:hAnsi="Inter"/>
          <w:sz w:val="16"/>
          <w:szCs w:val="16"/>
        </w:rPr>
      </w:pPr>
      <w:r w:rsidDel="00000000" w:rsidR="00000000" w:rsidRPr="00000000">
        <w:rPr>
          <w:rtl w:val="0"/>
        </w:rPr>
      </w:r>
    </w:p>
    <w:p w:rsidR="00000000" w:rsidDel="00000000" w:rsidP="00000000" w:rsidRDefault="00000000" w:rsidRPr="00000000" w14:paraId="00000097">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3.3 Foreign Entity of Concern (FEOC) Restrictions (OBBBA)</w:t>
      </w:r>
    </w:p>
    <w:p w:rsidR="00000000" w:rsidDel="00000000" w:rsidP="00000000" w:rsidRDefault="00000000" w:rsidRPr="00000000" w14:paraId="00000098">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Effective for facilities beginning construction in 2026 and later, projects cannot claim §48E ITC or §45Y PTC if:</w:t>
      </w:r>
      <w:r w:rsidDel="00000000" w:rsidR="00000000" w:rsidRPr="00000000">
        <w:rPr>
          <w:rFonts w:ascii="Inter" w:cs="Inter" w:eastAsia="Inter" w:hAnsi="Inter"/>
          <w:color w:val="0563c1"/>
          <w:sz w:val="16"/>
          <w:szCs w:val="16"/>
          <w:vertAlign w:val="superscript"/>
          <w:rtl w:val="0"/>
        </w:rPr>
        <w:t xml:space="preserve">[41,44,45]</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The taxpayer is a Specified Foreign Entity (SFE) — broadly, entities tied to China, Russia, North Korea, or Iran; or</w:t>
      </w:r>
      <w:r w:rsidDel="00000000" w:rsidR="00000000" w:rsidRPr="00000000">
        <w:rPr>
          <w:rFonts w:ascii="Inter" w:cs="Inter" w:eastAsia="Inter" w:hAnsi="Inter"/>
          <w:color w:val="0563c1"/>
          <w:sz w:val="16"/>
          <w:szCs w:val="16"/>
          <w:vertAlign w:val="superscript"/>
          <w:rtl w:val="0"/>
        </w:rPr>
        <w:t xml:space="preserve">[41,44]</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The project receives "material assistance" (cost-share contribution from SFE/FIE-sourced components) above the year-specific threshold; or</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Credits cannot be transferred under §6418 to specified foreign entities.</w:t>
      </w:r>
      <w:r w:rsidDel="00000000" w:rsidR="00000000" w:rsidRPr="00000000">
        <w:rPr>
          <w:rFonts w:ascii="Inter" w:cs="Inter" w:eastAsia="Inter" w:hAnsi="Inter"/>
          <w:color w:val="0563c1"/>
          <w:sz w:val="16"/>
          <w:szCs w:val="16"/>
          <w:vertAlign w:val="superscript"/>
          <w:rtl w:val="0"/>
        </w:rPr>
        <w:t xml:space="preserve">[41,44]</w:t>
      </w:r>
      <w:r w:rsidDel="00000000" w:rsidR="00000000" w:rsidRPr="00000000">
        <w:rPr>
          <w:rtl w:val="0"/>
        </w:rPr>
      </w:r>
    </w:p>
    <w:p w:rsidR="00000000" w:rsidDel="00000000" w:rsidP="00000000" w:rsidRDefault="00000000" w:rsidRPr="00000000" w14:paraId="0000009C">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For Tribal projects, supply chain due diligence will be required as a financing-close condition.</w:t>
      </w:r>
    </w:p>
    <w:p w:rsidR="00000000" w:rsidDel="00000000" w:rsidP="00000000" w:rsidRDefault="00000000" w:rsidRPr="00000000" w14:paraId="0000009D">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3.4 §48E(h) Indian Land Bonus — Specific Constraints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Size cap: facility net output must be under 5 MW. Microreactor designs (e.g., Westinghouse eVinci, BWXT/X-energy KRUSTY-class) may qualify; SMRs do not.</w:t>
      </w:r>
      <w:r w:rsidDel="00000000" w:rsidR="00000000" w:rsidRPr="00000000">
        <w:rPr>
          <w:rFonts w:ascii="Inter" w:cs="Inter" w:eastAsia="Inter" w:hAnsi="Inter"/>
          <w:color w:val="0563c1"/>
          <w:sz w:val="16"/>
          <w:szCs w:val="16"/>
          <w:vertAlign w:val="superscript"/>
          <w:rtl w:val="0"/>
        </w:rPr>
        <w:t xml:space="preserve">[2,3,6,7]</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Application window 2026: Feb 2, 2026 (9:00 a.m. ET) – Aug 7, 2026 (11:59 p.m. ET).</w:t>
      </w:r>
      <w:r w:rsidDel="00000000" w:rsidR="00000000" w:rsidRPr="00000000">
        <w:rPr>
          <w:rFonts w:ascii="Inter" w:cs="Inter" w:eastAsia="Inter" w:hAnsi="Inter"/>
          <w:color w:val="0563c1"/>
          <w:sz w:val="16"/>
          <w:szCs w:val="16"/>
          <w:vertAlign w:val="superscript"/>
          <w:rtl w:val="0"/>
        </w:rPr>
        <w:t xml:space="preserve">[3,6,7]</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Capacity-limited: 200 MW reserved for Indian Land in 2026.</w:t>
      </w:r>
      <w:r w:rsidDel="00000000" w:rsidR="00000000" w:rsidRPr="00000000">
        <w:rPr>
          <w:rFonts w:ascii="Inter" w:cs="Inter" w:eastAsia="Inter" w:hAnsi="Inter"/>
          <w:color w:val="0563c1"/>
          <w:sz w:val="16"/>
          <w:szCs w:val="16"/>
          <w:vertAlign w:val="superscript"/>
          <w:rtl w:val="0"/>
        </w:rPr>
        <w:t xml:space="preserve">[2,7]</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Allocations are valid for 4 years from issuance — facility must be placed in service within that window.</w:t>
      </w:r>
      <w:r w:rsidDel="00000000" w:rsidR="00000000" w:rsidRPr="00000000">
        <w:rPr>
          <w:rFonts w:ascii="Inter" w:cs="Inter" w:eastAsia="Inter" w:hAnsi="Inter"/>
          <w:color w:val="0563c1"/>
          <w:sz w:val="16"/>
          <w:szCs w:val="16"/>
          <w:vertAlign w:val="superscript"/>
          <w:rtl w:val="0"/>
        </w:rPr>
        <w:t xml:space="preserve">[7]</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"Indian Land" definition follows §2601(2) of the Energy Policy Act of 1992 (25 U.S.C. §3501(2)): includes federally recognized Tribal lands, trust lands, allotments, and lands of Alaska Native Corporations and the Department of Hawaiian Home Lands.</w:t>
      </w:r>
      <w:r w:rsidDel="00000000" w:rsidR="00000000" w:rsidRPr="00000000">
        <w:rPr>
          <w:rFonts w:ascii="Inter" w:cs="Inter" w:eastAsia="Inter" w:hAnsi="Inter"/>
          <w:color w:val="0563c1"/>
          <w:sz w:val="16"/>
          <w:szCs w:val="16"/>
          <w:vertAlign w:val="superscript"/>
          <w:rtl w:val="0"/>
        </w:rPr>
        <w:t xml:space="preserve">[7]</w:t>
      </w:r>
      <w:r w:rsidDel="00000000" w:rsidR="00000000" w:rsidRPr="00000000">
        <w:rPr>
          <w:rtl w:val="0"/>
        </w:rPr>
      </w:r>
    </w:p>
    <w:p w:rsidR="00000000" w:rsidDel="00000000" w:rsidP="00000000" w:rsidRDefault="00000000" w:rsidRPr="00000000" w14:paraId="000000A3">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3.5 Direct Pay — Specific Constraints</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Pre-filing registration with IRS Energy Credits Online required before placing the facility in service.</w:t>
      </w:r>
      <w:r w:rsidDel="00000000" w:rsidR="00000000" w:rsidRPr="00000000">
        <w:rPr>
          <w:rFonts w:ascii="Inter" w:cs="Inter" w:eastAsia="Inter" w:hAnsi="Inter"/>
          <w:color w:val="0563c1"/>
          <w:sz w:val="16"/>
          <w:szCs w:val="16"/>
          <w:vertAlign w:val="superscript"/>
          <w:rtl w:val="0"/>
        </w:rPr>
        <w:t xml:space="preserve">[8,47]</w:t>
      </w: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Domestic content compliance becomes mandatory for §6417 Direct Pay projects beginning construction in 2026 or later (with limited exceptions for projects unable to meet content requirements due to cost or availability).</w:t>
      </w:r>
      <w:r w:rsidDel="00000000" w:rsidR="00000000" w:rsidRPr="00000000">
        <w:rPr>
          <w:rFonts w:ascii="Inter" w:cs="Inter" w:eastAsia="Inter" w:hAnsi="Inter"/>
          <w:color w:val="0563c1"/>
          <w:sz w:val="16"/>
          <w:szCs w:val="16"/>
          <w:vertAlign w:val="superscript"/>
          <w:rtl w:val="0"/>
        </w:rPr>
        <w:t xml:space="preserve">[18,23,41]</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Direct Pay election must be made on a timely-filed return (including extensions).</w:t>
      </w:r>
      <w:r w:rsidDel="00000000" w:rsidR="00000000" w:rsidRPr="00000000">
        <w:rPr>
          <w:rtl w:val="0"/>
        </w:rPr>
      </w:r>
    </w:p>
    <w:p w:rsidR="00000000" w:rsidDel="00000000" w:rsidP="00000000" w:rsidRDefault="00000000" w:rsidRPr="00000000" w14:paraId="000000A7">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3.6 Recapture Risks</w:t>
      </w:r>
    </w:p>
    <w:p w:rsidR="00000000" w:rsidDel="00000000" w:rsidP="00000000" w:rsidRDefault="00000000" w:rsidRPr="00000000" w14:paraId="000000A8">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ITC recapture applies if the facility ceases qualified use within 5 years of being placed in service. Recapture is on a sliding scale: 100% in year 1, decreasing 20% per year. PTC has no recapture but must satisfy ongoing requirements (e.g., PWA in repair) for 10 years.</w:t>
      </w:r>
      <w:r w:rsidDel="00000000" w:rsidR="00000000" w:rsidRPr="00000000">
        <w:rPr>
          <w:rFonts w:ascii="Inter" w:cs="Inter" w:eastAsia="Inter" w:hAnsi="Inter"/>
          <w:color w:val="0563c1"/>
          <w:sz w:val="16"/>
          <w:szCs w:val="16"/>
          <w:vertAlign w:val="superscript"/>
          <w:rtl w:val="0"/>
        </w:rPr>
        <w:t xml:space="preserve">[5,44,48]</w:t>
      </w:r>
      <w:r w:rsidDel="00000000" w:rsidR="00000000" w:rsidRPr="00000000">
        <w:rPr>
          <w:rtl w:val="0"/>
        </w:rPr>
      </w:r>
    </w:p>
    <w:p w:rsidR="00000000" w:rsidDel="00000000" w:rsidP="00000000" w:rsidRDefault="00000000" w:rsidRPr="00000000" w14:paraId="000000A9">
      <w:pPr>
        <w:rPr>
          <w:rFonts w:ascii="Inter" w:cs="Inter" w:eastAsia="Inter" w:hAnsi="Inter"/>
          <w:sz w:val="14"/>
          <w:szCs w:val="14"/>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3.7 Benefits Delivery Mechanics</w:t>
      </w:r>
    </w:p>
    <w:p w:rsidR="00000000" w:rsidDel="00000000" w:rsidP="00000000" w:rsidRDefault="00000000" w:rsidRPr="00000000" w14:paraId="000000AB">
      <w:pPr>
        <w:rPr>
          <w:rFonts w:ascii="Inter" w:cs="Inter" w:eastAsia="Inter" w:hAnsi="Inter"/>
          <w:b w:val="1"/>
          <w:bCs w:val="1"/>
          <w:sz w:val="16"/>
          <w:szCs w:val="16"/>
        </w:rPr>
      </w:pPr>
      <w:r w:rsidDel="00000000" w:rsidR="00000000" w:rsidRPr="00000000">
        <w:rPr>
          <w:rFonts w:ascii="Inter" w:cs="Inter" w:eastAsia="Inter" w:hAnsi="Inter"/>
          <w:b w:val="1"/>
          <w:bCs w:val="1"/>
          <w:sz w:val="16"/>
          <w:szCs w:val="16"/>
          <w:rtl w:val="0"/>
        </w:rPr>
        <w:t xml:space="preserve">The form in which each benefit shows up is genuinely different, and it matters for cash flow modeling. Here's how each one is delivered:</w:t>
      </w:r>
    </w:p>
    <w:p w:rsidR="00000000" w:rsidDel="00000000" w:rsidP="00000000" w:rsidRDefault="00000000" w:rsidRPr="00000000" w14:paraId="000000AC">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§48E ITC base credit + adders (the 30% + adders stack).</w:t>
      </w:r>
      <w:r w:rsidDel="00000000" w:rsidR="00000000" w:rsidRPr="00000000">
        <w:rPr>
          <w:rFonts w:ascii="Inter" w:cs="Inter" w:eastAsia="Inter" w:hAnsi="Inter"/>
          <w:sz w:val="16"/>
          <w:szCs w:val="16"/>
          <w:rtl w:val="0"/>
        </w:rPr>
        <w:t xml:space="preserve"> For a Tribe electing Direct Pay under §6417, this lands as an actual cash refund — a check or, more commonly, an ACH wire from the U.S. Treasury to the Tribal entity's bank account. The mechanism: the Tribe files Form 990-T (or applicable return) by the due date including extensions, the IRS treats the credit as a tax overpayment, and refunds it. Timing is roughly 6–12 months after filing. For taxable developers (non-Tribal partners), the same credit instead reduces federal income tax liability dollar-for-dollar on Form 3468 — no cash unless they elect Transferability and sell the credit to a third party at ~92–94 cents on the dollar.</w:t>
      </w:r>
      <w:r w:rsidDel="00000000" w:rsidR="00000000" w:rsidRPr="00000000">
        <w:rPr>
          <w:rFonts w:ascii="Inter" w:cs="Inter" w:eastAsia="Inter" w:hAnsi="Inter"/>
          <w:color w:val="0563c1"/>
          <w:sz w:val="16"/>
          <w:szCs w:val="16"/>
          <w:vertAlign w:val="superscript"/>
          <w:rtl w:val="0"/>
        </w:rPr>
        <w:t xml:space="preserve">[8,17,21,47]</w:t>
      </w:r>
      <w:r w:rsidDel="00000000" w:rsidR="00000000" w:rsidRPr="00000000">
        <w:rPr>
          <w:rtl w:val="0"/>
        </w:rPr>
      </w:r>
    </w:p>
    <w:p w:rsidR="00000000" w:rsidDel="00000000" w:rsidP="00000000" w:rsidRDefault="00000000" w:rsidRPr="00000000" w14:paraId="000000AD">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§45Y PTC.</w:t>
      </w:r>
      <w:r w:rsidDel="00000000" w:rsidR="00000000" w:rsidRPr="00000000">
        <w:rPr>
          <w:rFonts w:ascii="Inter" w:cs="Inter" w:eastAsia="Inter" w:hAnsi="Inter"/>
          <w:sz w:val="16"/>
          <w:szCs w:val="16"/>
          <w:rtl w:val="0"/>
        </w:rPr>
        <w:t xml:space="preserve"> Same delivery mechanism as the ITC, but spread over 10 years. A Tribe using Direct Pay receives an annual cash refund for each year of qualifying production. Each year requires its own tax return filing and registration renewal. This is meaningful for liquidity planning — the PTC is not a lump sum.</w:t>
      </w:r>
      <w:r w:rsidDel="00000000" w:rsidR="00000000" w:rsidRPr="00000000">
        <w:rPr>
          <w:rFonts w:ascii="Inter" w:cs="Inter" w:eastAsia="Inter" w:hAnsi="Inter"/>
          <w:color w:val="0563c1"/>
          <w:sz w:val="16"/>
          <w:szCs w:val="16"/>
          <w:vertAlign w:val="superscript"/>
          <w:rtl w:val="0"/>
        </w:rPr>
        <w:t xml:space="preserve">[8,21]</w:t>
      </w:r>
      <w:r w:rsidDel="00000000" w:rsidR="00000000" w:rsidRPr="00000000">
        <w:rPr>
          <w:rtl w:val="0"/>
        </w:rPr>
      </w:r>
    </w:p>
    <w:p w:rsidR="00000000" w:rsidDel="00000000" w:rsidP="00000000" w:rsidRDefault="00000000" w:rsidRPr="00000000" w14:paraId="000000AE">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§48E(h) Indian Land bonus (+10 pp).</w:t>
      </w:r>
      <w:r w:rsidDel="00000000" w:rsidR="00000000" w:rsidRPr="00000000">
        <w:rPr>
          <w:rFonts w:ascii="Inter" w:cs="Inter" w:eastAsia="Inter" w:hAnsi="Inter"/>
          <w:sz w:val="16"/>
          <w:szCs w:val="16"/>
          <w:rtl w:val="0"/>
        </w:rPr>
        <w:t xml:space="preserve"> This is not a separate payment — it's an increase to the §48E ITC rate. Once allocated by DOE/IRS, it flows through the same Direct Pay refund mechanism described above. So a 50% ITC instead of a 40% ITC means a bigger single refund check, not two separate payments.</w:t>
      </w:r>
      <w:r w:rsidDel="00000000" w:rsidR="00000000" w:rsidRPr="00000000">
        <w:rPr>
          <w:rFonts w:ascii="Inter" w:cs="Inter" w:eastAsia="Inter" w:hAnsi="Inter"/>
          <w:color w:val="0563c1"/>
          <w:sz w:val="16"/>
          <w:szCs w:val="16"/>
          <w:vertAlign w:val="superscript"/>
          <w:rtl w:val="0"/>
        </w:rPr>
        <w:t xml:space="preserve">[7,8]</w:t>
      </w:r>
      <w:r w:rsidDel="00000000" w:rsidR="00000000" w:rsidRPr="00000000">
        <w:rPr>
          <w:rtl w:val="0"/>
        </w:rPr>
      </w:r>
    </w:p>
    <w:p w:rsidR="00000000" w:rsidDel="00000000" w:rsidP="00000000" w:rsidRDefault="00000000" w:rsidRPr="00000000" w14:paraId="000000AF">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Direct Pay (§6417).</w:t>
      </w:r>
      <w:r w:rsidDel="00000000" w:rsidR="00000000" w:rsidRPr="00000000">
        <w:rPr>
          <w:rFonts w:ascii="Inter" w:cs="Inter" w:eastAsia="Inter" w:hAnsi="Inter"/>
          <w:sz w:val="16"/>
          <w:szCs w:val="16"/>
          <w:rtl w:val="0"/>
        </w:rPr>
        <w:t xml:space="preserve"> This is the </w:t>
      </w:r>
      <w:r w:rsidDel="00000000" w:rsidR="00000000" w:rsidRPr="00000000">
        <w:rPr>
          <w:rFonts w:ascii="Inter" w:cs="Inter" w:eastAsia="Inter" w:hAnsi="Inter"/>
          <w:i w:val="1"/>
          <w:iCs w:val="1"/>
          <w:sz w:val="16"/>
          <w:szCs w:val="16"/>
          <w:rtl w:val="0"/>
        </w:rPr>
        <w:t xml:space="preserve">mechanism</w:t>
      </w:r>
      <w:r w:rsidDel="00000000" w:rsidR="00000000" w:rsidRPr="00000000">
        <w:rPr>
          <w:rFonts w:ascii="Inter" w:cs="Inter" w:eastAsia="Inter" w:hAnsi="Inter"/>
          <w:sz w:val="16"/>
          <w:szCs w:val="16"/>
          <w:rtl w:val="0"/>
        </w:rPr>
        <w:t xml:space="preserve">, not a separate benefit. It's how Tribes convert what would otherwise be a tax offset into actual cash. Without Direct Pay, a tax-exempt Tribal government couldn't use the credits at all (no tax liability to offset against).</w:t>
      </w:r>
    </w:p>
    <w:p w:rsidR="00000000" w:rsidDel="00000000" w:rsidP="00000000" w:rsidRDefault="00000000" w:rsidRPr="00000000" w14:paraId="000000B0">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DOE Tribal Energy Financing Program (TEFP) loan guarantee.</w:t>
      </w:r>
      <w:r w:rsidDel="00000000" w:rsidR="00000000" w:rsidRPr="00000000">
        <w:rPr>
          <w:rFonts w:ascii="Inter" w:cs="Inter" w:eastAsia="Inter" w:hAnsi="Inter"/>
          <w:sz w:val="16"/>
          <w:szCs w:val="16"/>
          <w:rtl w:val="0"/>
        </w:rPr>
        <w:t xml:space="preserve"> This is not money in the bank. It's a federal guarantee that backs a loan made to the Tribe — typically by the Federal Financing Bank (FFB) for direct loans, or by a commercial lender for guaranteed third-party loans. The Tribe still has to repay the loan with interest. The "benefit" is access to capital at lower interest rates (typically 100–300 bps below commercial rates) and longer tenors than commercial lenders would offer. For a $1B project at 80% TEFP coverage with 200 bps savings over a 15-year tenor, the present-value benefit is roughly $240M of avoided interest expense — real economic value, but spread over 15 years and conditional on debt service.</w:t>
      </w:r>
      <w:r w:rsidDel="00000000" w:rsidR="00000000" w:rsidRPr="00000000">
        <w:rPr>
          <w:rFonts w:ascii="Inter" w:cs="Inter" w:eastAsia="Inter" w:hAnsi="Inter"/>
          <w:color w:val="0563c1"/>
          <w:sz w:val="16"/>
          <w:szCs w:val="16"/>
          <w:vertAlign w:val="superscript"/>
          <w:rtl w:val="0"/>
        </w:rPr>
        <w:t xml:space="preserve">[14,25]</w:t>
      </w:r>
      <w:r w:rsidDel="00000000" w:rsidR="00000000" w:rsidRPr="00000000">
        <w:rPr>
          <w:rtl w:val="0"/>
        </w:rPr>
      </w:r>
    </w:p>
    <w:p w:rsidR="00000000" w:rsidDel="00000000" w:rsidP="00000000" w:rsidRDefault="00000000" w:rsidRPr="00000000" w14:paraId="000000B1">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DOE Office of Indian Energy grants ($50M NOFO).</w:t>
      </w:r>
      <w:r w:rsidDel="00000000" w:rsidR="00000000" w:rsidRPr="00000000">
        <w:rPr>
          <w:rFonts w:ascii="Inter" w:cs="Inter" w:eastAsia="Inter" w:hAnsi="Inter"/>
          <w:sz w:val="16"/>
          <w:szCs w:val="16"/>
          <w:rtl w:val="0"/>
        </w:rPr>
        <w:t xml:space="preserve"> This is direct cash to the Tribe — but it's reimbursement-based, not upfront. The Tribe incurs eligible expenses, submits invoices through the DOE IE-Exchange portal, and receives reimbursement payments typically within 30–60 days of approved invoice. No tax liability is created. The grant is for planning/feasibility/construction work, not for general operations, so it has to be spent on eligible activities and documented accordingly.</w:t>
      </w:r>
      <w:r w:rsidDel="00000000" w:rsidR="00000000" w:rsidRPr="00000000">
        <w:rPr>
          <w:rFonts w:ascii="Inter" w:cs="Inter" w:eastAsia="Inter" w:hAnsi="Inter"/>
          <w:color w:val="0563c1"/>
          <w:sz w:val="16"/>
          <w:szCs w:val="16"/>
          <w:vertAlign w:val="superscript"/>
          <w:rtl w:val="0"/>
        </w:rPr>
        <w:t xml:space="preserve">[11,20]</w:t>
      </w:r>
      <w:r w:rsidDel="00000000" w:rsidR="00000000" w:rsidRPr="00000000">
        <w:rPr>
          <w:rtl w:val="0"/>
        </w:rPr>
      </w:r>
    </w:p>
    <w:p w:rsidR="00000000" w:rsidDel="00000000" w:rsidP="00000000" w:rsidRDefault="00000000" w:rsidRPr="00000000" w14:paraId="000000B2">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Property tax / PILOT savings.</w:t>
      </w:r>
      <w:r w:rsidDel="00000000" w:rsidR="00000000" w:rsidRPr="00000000">
        <w:rPr>
          <w:rFonts w:ascii="Inter" w:cs="Inter" w:eastAsia="Inter" w:hAnsi="Inter"/>
          <w:sz w:val="16"/>
          <w:szCs w:val="16"/>
          <w:rtl w:val="0"/>
        </w:rPr>
        <w:t xml:space="preserve"> This isn't a federal benefit at all — it's a structural feature of Tribal sovereignty. Tribal trust lands are not subject to state or local property tax. The "benefit" shows up as a permanently lower operating expense line in the project pro forma, not as any payment.</w:t>
      </w:r>
      <w:r w:rsidDel="00000000" w:rsidR="00000000" w:rsidRPr="00000000">
        <w:rPr>
          <w:rFonts w:ascii="Inter" w:cs="Inter" w:eastAsia="Inter" w:hAnsi="Inter"/>
          <w:color w:val="0563c1"/>
          <w:sz w:val="16"/>
          <w:szCs w:val="16"/>
          <w:vertAlign w:val="superscript"/>
          <w:rtl w:val="0"/>
        </w:rPr>
        <w:t xml:space="preserve">[53,47]</w:t>
      </w:r>
      <w:r w:rsidDel="00000000" w:rsidR="00000000" w:rsidRPr="00000000">
        <w:rPr>
          <w:rtl w:val="0"/>
        </w:rPr>
      </w:r>
    </w:p>
    <w:p w:rsidR="00000000" w:rsidDel="00000000" w:rsidP="00000000" w:rsidRDefault="00000000" w:rsidRPr="00000000" w14:paraId="000000B3">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Energy Community + Domestic Content adders (separate from the Indian Land bonus).</w:t>
      </w:r>
      <w:r w:rsidDel="00000000" w:rsidR="00000000" w:rsidRPr="00000000">
        <w:rPr>
          <w:rFonts w:ascii="Inter" w:cs="Inter" w:eastAsia="Inter" w:hAnsi="Inter"/>
          <w:sz w:val="16"/>
          <w:szCs w:val="16"/>
          <w:rtl w:val="0"/>
        </w:rPr>
        <w:t xml:space="preserve"> Same as the §48E(h) adder — these increase the ITC rate, flow through Direct Pay, and arrive as a larger single cash refund.</w:t>
      </w:r>
    </w:p>
    <w:p w:rsidR="00000000" w:rsidDel="00000000" w:rsidP="00000000" w:rsidRDefault="00000000" w:rsidRPr="00000000" w14:paraId="000000B4">
      <w:pPr>
        <w:spacing w:after="240" w:before="24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Putting it together for a Tribal nuclear project:</w:t>
      </w:r>
      <w:r w:rsidDel="00000000" w:rsidR="00000000" w:rsidRPr="00000000">
        <w:rPr>
          <w:rFonts w:ascii="Inter" w:cs="Inter" w:eastAsia="Inter" w:hAnsi="Inter"/>
          <w:sz w:val="16"/>
          <w:szCs w:val="16"/>
          <w:rtl w:val="0"/>
        </w:rPr>
        <w:t xml:space="preserve"> the cash flow profile is a one-time large Direct Pay refund (or 10 annual refunds if PTC) covering 30–70% of project cost, plus a TEFP-backed loan that has to be repaid but at a lower cost than commercial debt, plus reimbursement-based grants for early-stage feasibility work, plus permanent operating cost savings from no property tax. The largest single cash event is the Direct Pay refund, which typically arrives ~6–12 months after the facility is placed in service.</w:t>
      </w:r>
    </w:p>
    <w:p w:rsidR="00000000" w:rsidDel="00000000" w:rsidP="00000000" w:rsidRDefault="00000000" w:rsidRPr="00000000" w14:paraId="000000B5">
      <w:pPr>
        <w:spacing w:after="240" w:before="24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One important caveat on Direct Pay timing: under IRS guidance, pre-filing registration alone should be submitted at least 120 days before the return due date to allow for processing, and additional time is needed after filing for the IRS to issue the refund. Tribes should plan for the refund as project cash flow only after construction debt is in place — not as construction-period financing.</w:t>
      </w:r>
      <w:r w:rsidDel="00000000" w:rsidR="00000000" w:rsidRPr="00000000">
        <w:rPr>
          <w:rFonts w:ascii="Inter" w:cs="Inter" w:eastAsia="Inter" w:hAnsi="Inter"/>
          <w:color w:val="0563c1"/>
          <w:sz w:val="16"/>
          <w:szCs w:val="16"/>
          <w:vertAlign w:val="superscript"/>
          <w:rtl w:val="0"/>
        </w:rPr>
        <w:t xml:space="preserve">[8,21,56]</w:t>
      </w:r>
      <w:r w:rsidDel="00000000" w:rsidR="00000000" w:rsidRPr="00000000">
        <w:rPr>
          <w:rtl w:val="0"/>
        </w:rPr>
      </w:r>
    </w:p>
    <w:p w:rsidR="00000000" w:rsidDel="00000000" w:rsidP="00000000" w:rsidRDefault="00000000" w:rsidRPr="00000000" w14:paraId="000000B6">
      <w:pPr>
        <w:rPr>
          <w:rFonts w:ascii="Inter" w:cs="Inter" w:eastAsia="Inter" w:hAnsi="Inter"/>
          <w:sz w:val="16"/>
          <w:szCs w:val="16"/>
        </w:rPr>
      </w:pPr>
      <w:r w:rsidDel="00000000" w:rsidR="00000000" w:rsidRPr="00000000">
        <w:rPr>
          <w:rtl w:val="0"/>
        </w:rPr>
      </w:r>
    </w:p>
    <w:p w:rsidR="00000000" w:rsidDel="00000000" w:rsidP="00000000" w:rsidRDefault="00000000" w:rsidRPr="00000000" w14:paraId="000000B7">
      <w:pPr>
        <w:pStyle w:val="Heading1"/>
        <w:rPr>
          <w:rFonts w:ascii="Inter" w:cs="Inter" w:eastAsia="Inter" w:hAnsi="Inter"/>
          <w:sz w:val="20"/>
          <w:szCs w:val="20"/>
        </w:rPr>
      </w:pPr>
      <w:r w:rsidDel="00000000" w:rsidR="00000000" w:rsidRPr="00000000">
        <w:rPr>
          <w:rFonts w:ascii="Inter" w:cs="Inter" w:eastAsia="Inter" w:hAnsi="Inter"/>
          <w:sz w:val="20"/>
          <w:szCs w:val="20"/>
          <w:rtl w:val="0"/>
        </w:rPr>
        <w:t xml:space="preserve">4. High-Level Benefits Overview</w:t>
      </w:r>
    </w:p>
    <w:p w:rsidR="00000000" w:rsidDel="00000000" w:rsidP="00000000" w:rsidRDefault="00000000" w:rsidRPr="00000000" w14:paraId="000000B8">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On a typical advanced nuclear or SMR project sited on Tribal land, the IRA/OBBBA benefit stack delivers the following economic effects:</w:t>
      </w:r>
    </w:p>
    <w:p w:rsidR="00000000" w:rsidDel="00000000" w:rsidP="00000000" w:rsidRDefault="00000000" w:rsidRPr="00000000" w14:paraId="000000B9">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4.1 Levelized Cost of Electricity (LCOE) Impact</w:t>
      </w:r>
    </w:p>
    <w:p w:rsidR="00000000" w:rsidDel="00000000" w:rsidP="00000000" w:rsidRDefault="00000000" w:rsidRPr="00000000" w14:paraId="000000BA">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Nuclear Innovation Alliance has modeled that the §48E ITC alone reduces the LCOE of a new nuclear project by approximately 23–30%. For a NOAK (Nth-of-a-kind) SMR project with pre-incentive LCOE of $67–115/MWh, the ITC plus energy community adder can bring LCOE into the $50–80/MWh range — directly competitive with combined-cycle gas turbines.</w:t>
      </w:r>
      <w:r w:rsidDel="00000000" w:rsidR="00000000" w:rsidRPr="00000000">
        <w:rPr>
          <w:rFonts w:ascii="Inter" w:cs="Inter" w:eastAsia="Inter" w:hAnsi="Inter"/>
          <w:color w:val="0563c1"/>
          <w:sz w:val="16"/>
          <w:szCs w:val="16"/>
          <w:vertAlign w:val="superscript"/>
          <w:rtl w:val="0"/>
        </w:rPr>
        <w:t xml:space="preserve">[50,51,52]</w:t>
      </w:r>
      <w:r w:rsidDel="00000000" w:rsidR="00000000" w:rsidRPr="00000000">
        <w:rPr>
          <w:rtl w:val="0"/>
        </w:rPr>
      </w:r>
    </w:p>
    <w:p w:rsidR="00000000" w:rsidDel="00000000" w:rsidP="00000000" w:rsidRDefault="00000000" w:rsidRPr="00000000" w14:paraId="000000BB">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4.2 Sovereignty and Economic Development Benefits</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Tribal energy sovereignty: ability to own generation, sell power off-Reservation, and reduce dependence on third-party utilities.</w:t>
      </w:r>
      <w:r w:rsidDel="00000000" w:rsidR="00000000" w:rsidRPr="00000000">
        <w:rPr>
          <w:rFonts w:ascii="Inter" w:cs="Inter" w:eastAsia="Inter" w:hAnsi="Inter"/>
          <w:color w:val="0563c1"/>
          <w:sz w:val="16"/>
          <w:szCs w:val="16"/>
          <w:vertAlign w:val="superscript"/>
          <w:rtl w:val="0"/>
        </w:rPr>
        <w:t xml:space="preserve">[16,53]</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Construction-phase employment: prevailing wage and apprenticeship requirements convert into Tribal-member workforce development opportunities.</w:t>
      </w:r>
      <w:r w:rsidDel="00000000" w:rsidR="00000000" w:rsidRPr="00000000">
        <w:rPr>
          <w:rFonts w:ascii="Inter" w:cs="Inter" w:eastAsia="Inter" w:hAnsi="Inter"/>
          <w:color w:val="0563c1"/>
          <w:sz w:val="16"/>
          <w:szCs w:val="16"/>
          <w:vertAlign w:val="superscript"/>
          <w:rtl w:val="0"/>
        </w:rPr>
        <w:t xml:space="preserve">[19,53]</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Long-term revenue: PPA revenue or wholesale market revenue accrues to the Tribe for the 60+ year life of a nuclear plant.</w:t>
      </w:r>
      <w:r w:rsidDel="00000000" w:rsidR="00000000" w:rsidRPr="00000000">
        <w:rPr>
          <w:rFonts w:ascii="Inter" w:cs="Inter" w:eastAsia="Inter" w:hAnsi="Inter"/>
          <w:color w:val="0563c1"/>
          <w:sz w:val="16"/>
          <w:szCs w:val="16"/>
          <w:vertAlign w:val="superscript"/>
          <w:rtl w:val="0"/>
        </w:rPr>
        <w:t xml:space="preserve">[16,51]</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Property tax / PILOT: Tribal lands are not subject to state property tax — the tax-equivalent value can be retained as project economics or revenue-shared with surrounding communities at the Tribe's discretion.</w:t>
      </w:r>
      <w:r w:rsidDel="00000000" w:rsidR="00000000" w:rsidRPr="00000000">
        <w:rPr>
          <w:rFonts w:ascii="Inter" w:cs="Inter" w:eastAsia="Inter" w:hAnsi="Inter"/>
          <w:color w:val="0563c1"/>
          <w:sz w:val="16"/>
          <w:szCs w:val="16"/>
          <w:vertAlign w:val="superscript"/>
          <w:rtl w:val="0"/>
        </w:rPr>
        <w:t xml:space="preserve">[47,53]</w:t>
      </w:r>
      <w:r w:rsidDel="00000000" w:rsidR="00000000" w:rsidRPr="00000000">
        <w:rPr>
          <w:rtl w:val="0"/>
        </w:rPr>
      </w:r>
    </w:p>
    <w:p w:rsidR="00000000" w:rsidDel="00000000" w:rsidP="00000000" w:rsidRDefault="00000000" w:rsidRPr="00000000" w14:paraId="000000C0">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4.3 Risk Mitigation</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DOE TEFP loan guarantees lower the cost of debt by 100–300 bps versus commercial debt.</w:t>
      </w:r>
      <w:r w:rsidDel="00000000" w:rsidR="00000000" w:rsidRPr="00000000">
        <w:rPr>
          <w:rFonts w:ascii="Inter" w:cs="Inter" w:eastAsia="Inter" w:hAnsi="Inter"/>
          <w:color w:val="0563c1"/>
          <w:sz w:val="16"/>
          <w:szCs w:val="16"/>
          <w:vertAlign w:val="superscript"/>
          <w:rtl w:val="0"/>
        </w:rPr>
        <w:t xml:space="preserve">[25,59]</w:t>
      </w: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Direct Pay eliminates tax-equity transaction costs (typically 8–15% of credit value). Per Crux Climate market data, transferable credits clear at roughly 92–94 cents on the dollar in 2024–2025 — Direct Pay's full 100-cent value is therefore worth $55–165M on a $1B SMR project's ITC vs. selling the credit.</w:t>
      </w:r>
      <w:r w:rsidDel="00000000" w:rsidR="00000000" w:rsidRPr="00000000">
        <w:rPr>
          <w:rFonts w:ascii="Inter" w:cs="Inter" w:eastAsia="Inter" w:hAnsi="Inter"/>
          <w:color w:val="0563c1"/>
          <w:sz w:val="16"/>
          <w:szCs w:val="16"/>
          <w:vertAlign w:val="superscript"/>
          <w:rtl w:val="0"/>
        </w:rPr>
        <w:t xml:space="preserve">[17]</w:t>
      </w:r>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Domestic content adder reduces exposure to overseas supply-chain disruption.</w:t>
      </w:r>
      <w:r w:rsidDel="00000000" w:rsidR="00000000" w:rsidRPr="00000000">
        <w:rPr>
          <w:rFonts w:ascii="Inter" w:cs="Inter" w:eastAsia="Inter" w:hAnsi="Inter"/>
          <w:color w:val="0563c1"/>
          <w:sz w:val="16"/>
          <w:szCs w:val="16"/>
          <w:vertAlign w:val="superscript"/>
          <w:rtl w:val="0"/>
        </w:rPr>
        <w:t xml:space="preserve">[18,23]</w:t>
      </w:r>
      <w:r w:rsidDel="00000000" w:rsidR="00000000" w:rsidRPr="00000000">
        <w:rPr>
          <w:rtl w:val="0"/>
        </w:rPr>
      </w:r>
    </w:p>
    <w:p w:rsidR="00000000" w:rsidDel="00000000" w:rsidP="00000000" w:rsidRDefault="00000000" w:rsidRPr="00000000" w14:paraId="000000C4">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4.4 Tribal Lands Often Pre-Qualify as Energy Communities</w:t>
      </w:r>
    </w:p>
    <w:p w:rsidR="00000000" w:rsidDel="00000000" w:rsidP="00000000" w:rsidRDefault="00000000" w:rsidRPr="00000000" w14:paraId="000000C5">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 meaningful structural advantage for Tribal nuclear projects is that many Tribal lands automatically qualify for the +10 pp Energy Community adder due to historical fossil fuel and uranium mining activity:</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From 1950 to 1980, of all U.S. defense-related uranium mines located on Tribal lands, 96% were on the Navajo Nation on Tribal Lands,, with the remainder on the lands of the Pueblo of Laguna, Pueblo of Zuni, Hualapai Tribe, Tohono O’odham Nation, Spokane Tribe, and Ute Indian Tribe.</w:t>
      </w:r>
      <w:r w:rsidDel="00000000" w:rsidR="00000000" w:rsidRPr="00000000">
        <w:rPr>
          <w:rFonts w:ascii="Inter" w:cs="Inter" w:eastAsia="Inter" w:hAnsi="Inter"/>
          <w:color w:val="0563c1"/>
          <w:sz w:val="16"/>
          <w:szCs w:val="16"/>
          <w:vertAlign w:val="superscript"/>
          <w:rtl w:val="0"/>
        </w:rPr>
        <w:t xml:space="preserve">[16,39]</w:t>
      </w: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Many of these former uranium-mining sites qualify as brownfields under the Energy Community Bonus Brownfield Category, satisfying CERCLA's brownfield definition.</w:t>
      </w:r>
      <w:r w:rsidDel="00000000" w:rsidR="00000000" w:rsidRPr="00000000">
        <w:rPr>
          <w:rFonts w:ascii="Inter" w:cs="Inter" w:eastAsia="Inter" w:hAnsi="Inter"/>
          <w:color w:val="0563c1"/>
          <w:sz w:val="16"/>
          <w:szCs w:val="16"/>
          <w:vertAlign w:val="superscript"/>
          <w:rtl w:val="0"/>
        </w:rPr>
        <w:t xml:space="preserve">[4,22,39]</w:t>
      </w:r>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DOE/NETL's Energy Community Mapping Tool (https://arcgis.netl.doe.gov/portal/apps/experiencebuilder/experience/?id=785ee47a99d24b36b405acd03d97a5f9) allows project developers to verify eligibility by site coordinates.</w:t>
      </w:r>
      <w:r w:rsidDel="00000000" w:rsidR="00000000" w:rsidRPr="00000000">
        <w:rPr>
          <w:rFonts w:ascii="Inter" w:cs="Inter" w:eastAsia="Inter" w:hAnsi="Inter"/>
          <w:color w:val="0563c1"/>
          <w:sz w:val="16"/>
          <w:szCs w:val="16"/>
          <w:vertAlign w:val="superscript"/>
          <w:rtl w:val="0"/>
        </w:rPr>
        <w:t xml:space="preserve">[15]</w:t>
      </w:r>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Tribal lands hosting closed coal power plants or operating in fossil-fuel statistical areas may also qualify under the coal-closure or statistical-area categories.</w:t>
      </w:r>
      <w:r w:rsidDel="00000000" w:rsidR="00000000" w:rsidRPr="00000000">
        <w:rPr>
          <w:rFonts w:ascii="Inter" w:cs="Inter" w:eastAsia="Inter" w:hAnsi="Inter"/>
          <w:color w:val="0563c1"/>
          <w:sz w:val="16"/>
          <w:szCs w:val="16"/>
          <w:vertAlign w:val="superscript"/>
          <w:rtl w:val="0"/>
        </w:rPr>
        <w:t xml:space="preserve">[4,15,22]</w:t>
      </w:r>
      <w:r w:rsidDel="00000000" w:rsidR="00000000" w:rsidRPr="00000000">
        <w:rPr>
          <w:rtl w:val="0"/>
        </w:rPr>
      </w:r>
    </w:p>
    <w:p w:rsidR="00000000" w:rsidDel="00000000" w:rsidP="00000000" w:rsidRDefault="00000000" w:rsidRPr="00000000" w14:paraId="000000CA">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This natural overlap means many Tribal nuclear projects can capture the +10 pp Energy Community adder without strategic site selection, bringing the standard ITC stack to 50% (30% base + 10% domestic content + 10% energy community) before any project-specific work.</w:t>
      </w:r>
    </w:p>
    <w:p w:rsidR="00000000" w:rsidDel="00000000" w:rsidP="00000000" w:rsidRDefault="00000000" w:rsidRPr="00000000" w14:paraId="000000CB">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4.5 Strategic Non-Electric End Uses</w:t>
      </w:r>
    </w:p>
    <w:p w:rsidR="00000000" w:rsidDel="00000000" w:rsidP="00000000" w:rsidRDefault="00000000" w:rsidRPr="00000000" w14:paraId="000000CC">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Beyond grid electricity, advanced reactors and SMRs on Tribal lands can deliver value through non-electric end uses that are particularly relevant for remote Alaska Native villages or Tribal industrial development:</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Process heat for industrial parks (e.g., enhanced oil recovery, cement, ammonia, advanced manufacturing on Tribal lands).</w:t>
      </w:r>
      <w:r w:rsidDel="00000000" w:rsidR="00000000" w:rsidRPr="00000000">
        <w:rPr>
          <w:rFonts w:ascii="Inter" w:cs="Inter" w:eastAsia="Inter" w:hAnsi="Inter"/>
          <w:color w:val="0563c1"/>
          <w:sz w:val="16"/>
          <w:szCs w:val="16"/>
          <w:vertAlign w:val="superscript"/>
          <w:rtl w:val="0"/>
        </w:rPr>
        <w:t xml:space="preserve">[9,16]</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Hydrogen production via electrolysis or thermochemical cycles. Note: §45V clean hydrogen credit is sunsetting under OBBBA for projects beginning construction after Dec 31, 2027, so the timing window for hydrogen-pairing tax incentives is narrow.</w:t>
      </w:r>
      <w:r w:rsidDel="00000000" w:rsidR="00000000" w:rsidRPr="00000000">
        <w:rPr>
          <w:rFonts w:ascii="Inter" w:cs="Inter" w:eastAsia="Inter" w:hAnsi="Inter"/>
          <w:color w:val="0563c1"/>
          <w:sz w:val="16"/>
          <w:szCs w:val="16"/>
          <w:vertAlign w:val="superscript"/>
          <w:rtl w:val="0"/>
        </w:rPr>
        <w:t xml:space="preserve">[41,45,46]</w:t>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Desalination for water-stressed Tribal lands in the Southwest.</w:t>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District heating for Tribal community facilities, particularly in cold-climate Alaska Native villages where diesel displacement provides additional economic value.</w:t>
      </w:r>
      <w:r w:rsidDel="00000000" w:rsidR="00000000" w:rsidRPr="00000000">
        <w:rPr>
          <w:rFonts w:ascii="Inter" w:cs="Inter" w:eastAsia="Inter" w:hAnsi="Inter"/>
          <w:color w:val="0563c1"/>
          <w:sz w:val="16"/>
          <w:szCs w:val="16"/>
          <w:vertAlign w:val="superscript"/>
          <w:rtl w:val="0"/>
        </w:rPr>
        <w:t xml:space="preserve">[16]</w:t>
      </w: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Data center co-location: nuclear's firm, low-carbon power profile is increasingly attractive to hyperscale data center operators. Tribal nations with land, water, and a nuclear plant are positioned to attract data center anchor tenants.</w:t>
      </w:r>
      <w:r w:rsidDel="00000000" w:rsidR="00000000" w:rsidRPr="00000000">
        <w:rPr>
          <w:rFonts w:ascii="Inter" w:cs="Inter" w:eastAsia="Inter" w:hAnsi="Inter"/>
          <w:color w:val="0563c1"/>
          <w:sz w:val="16"/>
          <w:szCs w:val="16"/>
          <w:vertAlign w:val="superscript"/>
          <w:rtl w:val="0"/>
        </w:rPr>
        <w:t xml:space="preserve">[16,50]</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80" w:lineRule="auto"/>
        <w:rPr>
          <w:rFonts w:ascii="Inter" w:cs="Inter" w:eastAsia="Inter" w:hAnsi="Inter"/>
          <w:color w:val="0563c1"/>
          <w:sz w:val="16"/>
          <w:szCs w:val="16"/>
          <w:vertAlign w:val="superscript"/>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80" w:lineRule="auto"/>
        <w:rPr>
          <w:rFonts w:ascii="Inter" w:cs="Inter" w:eastAsia="Inter" w:hAnsi="Inter"/>
          <w:sz w:val="16"/>
          <w:szCs w:val="16"/>
        </w:rPr>
      </w:pPr>
      <w:r w:rsidDel="00000000" w:rsidR="00000000" w:rsidRPr="00000000">
        <w:rPr>
          <w:rtl w:val="0"/>
        </w:rPr>
      </w:r>
    </w:p>
    <w:p w:rsidR="00000000" w:rsidDel="00000000" w:rsidP="00000000" w:rsidRDefault="00000000" w:rsidRPr="00000000" w14:paraId="000000D4">
      <w:pPr>
        <w:pStyle w:val="Heading1"/>
        <w:rPr>
          <w:rFonts w:ascii="Inter" w:cs="Inter" w:eastAsia="Inter" w:hAnsi="Inter"/>
          <w:sz w:val="20"/>
          <w:szCs w:val="20"/>
        </w:rPr>
      </w:pPr>
      <w:r w:rsidDel="00000000" w:rsidR="00000000" w:rsidRPr="00000000">
        <w:rPr>
          <w:rFonts w:ascii="Inter" w:cs="Inter" w:eastAsia="Inter" w:hAnsi="Inter"/>
          <w:sz w:val="20"/>
          <w:szCs w:val="20"/>
          <w:rtl w:val="0"/>
        </w:rPr>
        <w:t xml:space="preserve">5. Licensing, Tribal Regulation, and Mapping Resources</w:t>
      </w:r>
    </w:p>
    <w:p w:rsidR="00000000" w:rsidDel="00000000" w:rsidP="00000000" w:rsidRDefault="00000000" w:rsidRPr="00000000" w14:paraId="000000D5">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5.1 Nuclear Licensing Authority on Tribal Lands</w:t>
      </w:r>
    </w:p>
    <w:p w:rsidR="00000000" w:rsidDel="00000000" w:rsidP="00000000" w:rsidRDefault="00000000" w:rsidRPr="00000000" w14:paraId="000000D6">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U.S. Nuclear Regulatory Commission (NRC) is the licensing authority for any commercial nuclear reactor sited on Tribal land, just as it is anywhere else in the United States.</w:t>
      </w:r>
      <w:r w:rsidDel="00000000" w:rsidR="00000000" w:rsidRPr="00000000">
        <w:rPr>
          <w:rFonts w:ascii="Inter" w:cs="Inter" w:eastAsia="Inter" w:hAnsi="Inter"/>
          <w:color w:val="0563c1"/>
          <w:sz w:val="16"/>
          <w:szCs w:val="16"/>
          <w:vertAlign w:val="superscript"/>
          <w:rtl w:val="0"/>
        </w:rPr>
        <w:t xml:space="preserve">[26,27]</w:t>
      </w:r>
      <w:r w:rsidDel="00000000" w:rsidR="00000000" w:rsidRPr="00000000">
        <w:rPr>
          <w:rtl w:val="0"/>
        </w:rPr>
      </w:r>
    </w:p>
    <w:p w:rsidR="00000000" w:rsidDel="00000000" w:rsidP="00000000" w:rsidRDefault="00000000" w:rsidRPr="00000000" w14:paraId="000000D7">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Under the Atomic Energy Act of 1954, the NRC has exclusive jurisdiction over construction permits, operating licenses, and combined licenses for commercial power reactors (10 CFR Part 50 and Part 52), research reactors, fuel cycle facilities, and spent-fuel storage installations (10 CFR Part 72). This authority extends to Tribal lands, which the NRC treats as areas of exclusive federal jurisdiction. The NRC has stated that federally recognized Tribes and their lands or reservations under exclusive federal jurisdiction are subject only to NRC regulatory authority for licensed reactor and materials activities. States cannot license a reactor on Tribal land even where the state is otherwise an “Agreement State,” and Tribes cannot supplant that licensing regime with their own.</w:t>
      </w:r>
      <w:r w:rsidDel="00000000" w:rsidR="00000000" w:rsidRPr="00000000">
        <w:rPr>
          <w:rFonts w:ascii="Inter" w:cs="Inter" w:eastAsia="Inter" w:hAnsi="Inter"/>
          <w:color w:val="0563c1"/>
          <w:sz w:val="16"/>
          <w:szCs w:val="16"/>
          <w:vertAlign w:val="superscript"/>
          <w:rtl w:val="0"/>
        </w:rPr>
        <w:t xml:space="preserve">[27,29,30]</w:t>
      </w:r>
      <w:r w:rsidDel="00000000" w:rsidR="00000000" w:rsidRPr="00000000">
        <w:rPr>
          <w:rtl w:val="0"/>
        </w:rPr>
      </w:r>
    </w:p>
    <w:p w:rsidR="00000000" w:rsidDel="00000000" w:rsidP="00000000" w:rsidRDefault="00000000" w:rsidRPr="00000000" w14:paraId="000000D8">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Consultation obligations:</w:t>
      </w:r>
      <w:r w:rsidDel="00000000" w:rsidR="00000000" w:rsidRPr="00000000">
        <w:rPr>
          <w:rFonts w:ascii="Inter" w:cs="Inter" w:eastAsia="Inter" w:hAnsi="Inter"/>
          <w:sz w:val="16"/>
          <w:szCs w:val="16"/>
          <w:rtl w:val="0"/>
        </w:rPr>
        <w:t xml:space="preserve"> What the NRC does provide is a structured Tribal consultation process. Under the NRC’s 2017 Tribal Policy Statement (82 FR 2402), NEPA, and Section 106 of the National Historic Preservation Act, NRC must engage in government-to-government consultation with federally recognized Tribes during reactor licensing reviews. The NRC maintains a Tribal Liaison Program and a designated tribal liaison map identifying Tribes within 50 miles of nuclear power plants. For a Tribal-sited reactor, the host Tribe is both the project sponsor and the consulting government — a unique posture that makes the consultation framework an enabling tool rather than a hurdle.</w:t>
      </w:r>
      <w:r w:rsidDel="00000000" w:rsidR="00000000" w:rsidRPr="00000000">
        <w:rPr>
          <w:rFonts w:ascii="Inter" w:cs="Inter" w:eastAsia="Inter" w:hAnsi="Inter"/>
          <w:color w:val="0563c1"/>
          <w:sz w:val="16"/>
          <w:szCs w:val="16"/>
          <w:vertAlign w:val="superscript"/>
          <w:rtl w:val="0"/>
        </w:rPr>
        <w:t xml:space="preserve">[26,28]</w:t>
      </w:r>
      <w:r w:rsidDel="00000000" w:rsidR="00000000" w:rsidRPr="00000000">
        <w:rPr>
          <w:rtl w:val="0"/>
        </w:rPr>
      </w:r>
    </w:p>
    <w:p w:rsidR="00000000" w:rsidDel="00000000" w:rsidP="00000000" w:rsidRDefault="00000000" w:rsidRPr="00000000" w14:paraId="000000D9">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Practical implication for project planning:</w:t>
      </w:r>
      <w:r w:rsidDel="00000000" w:rsidR="00000000" w:rsidRPr="00000000">
        <w:rPr>
          <w:rFonts w:ascii="Inter" w:cs="Inter" w:eastAsia="Inter" w:hAnsi="Inter"/>
          <w:sz w:val="16"/>
          <w:szCs w:val="16"/>
          <w:rtl w:val="0"/>
        </w:rPr>
        <w:t xml:space="preserve"> a Tribal nuclear project follows the same NRC licensing pathway (Part 50, Part 52, or Part 53 for advanced reactor) once that framework is finalized) as any other commercial project, including NEPA review by NRC as the lead federal agency. The Tribe’s sovereign tools come into play through siting agreements, environmental codes that operate alongside (not in place of) NRC requirements, and the consultation process. Budget the NRC licensing timeline accordingly — typically 36–48 months for advanced reactors under the current Part 52 framework, faster under Part 53 once finalized.</w:t>
      </w:r>
      <w:r w:rsidDel="00000000" w:rsidR="00000000" w:rsidRPr="00000000">
        <w:rPr>
          <w:rFonts w:ascii="Inter" w:cs="Inter" w:eastAsia="Inter" w:hAnsi="Inter"/>
          <w:color w:val="0563c1"/>
          <w:sz w:val="16"/>
          <w:szCs w:val="16"/>
          <w:vertAlign w:val="superscript"/>
          <w:rtl w:val="0"/>
        </w:rPr>
        <w:t xml:space="preserve">[58]</w:t>
      </w:r>
      <w:r w:rsidDel="00000000" w:rsidR="00000000" w:rsidRPr="00000000">
        <w:rPr>
          <w:rtl w:val="0"/>
        </w:rPr>
      </w:r>
    </w:p>
    <w:p w:rsidR="00000000" w:rsidDel="00000000" w:rsidP="00000000" w:rsidRDefault="00000000" w:rsidRPr="00000000" w14:paraId="000000DA">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5.2 Tribes That Have Enacted Nuclear-Specific Laws</w:t>
      </w:r>
    </w:p>
    <w:p w:rsidR="00000000" w:rsidDel="00000000" w:rsidP="00000000" w:rsidRDefault="00000000" w:rsidRPr="00000000" w14:paraId="000000DB">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Tribal nuclear-related laws on the books are nearly all restrictive rather than enabling. Tribal nuclear lawmaking has been shaped by uranium-mining and waste-storage history, not new reactor deployment. For a developer evaluating site selection, this is the most important screen to run early.</w:t>
      </w:r>
    </w:p>
    <w:p w:rsidR="00000000" w:rsidDel="00000000" w:rsidP="00000000" w:rsidRDefault="00000000" w:rsidRPr="00000000" w14:paraId="000000DC">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Navajo Nation — the most developed Tribal nuclear legal regime:</w:t>
      </w:r>
      <w:r w:rsidDel="00000000" w:rsidR="00000000" w:rsidRPr="00000000">
        <w:rPr>
          <w:rtl w:val="0"/>
        </w:rPr>
      </w:r>
    </w:p>
    <w:p w:rsidR="00000000" w:rsidDel="00000000" w:rsidP="00000000" w:rsidRDefault="00000000" w:rsidRPr="00000000" w14:paraId="000000DD">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Diné Natural Resources Protection Act of 2005 (codified at Title 18 of the Navajo Nation Code) bans uranium mining and processing within the Navajo Nation and Navajo Indian Country. It was passed in response to the legacy of more than 500 abandoned uranium mines and decades of associated health harms. The Radioactive and Related Substances Equipment, Vehicles, Persons, and Materials Transportation Act of 2012 layers on top, prohibiting the transportation of radioactive materials across Navajo lands without compliance with tribal notice and approval requirements. President Buu Nygren issued an executive order in 2024 directing enforcement of both laws.</w:t>
      </w:r>
      <w:r w:rsidDel="00000000" w:rsidR="00000000" w:rsidRPr="00000000">
        <w:rPr>
          <w:rFonts w:ascii="Inter" w:cs="Inter" w:eastAsia="Inter" w:hAnsi="Inter"/>
          <w:color w:val="0563c1"/>
          <w:sz w:val="16"/>
          <w:szCs w:val="16"/>
          <w:vertAlign w:val="superscript"/>
          <w:rtl w:val="0"/>
        </w:rPr>
        <w:t xml:space="preserve">[32,33,39]</w:t>
      </w:r>
      <w:r w:rsidDel="00000000" w:rsidR="00000000" w:rsidRPr="00000000">
        <w:rPr>
          <w:rtl w:val="0"/>
        </w:rPr>
      </w:r>
    </w:p>
    <w:p w:rsidR="00000000" w:rsidDel="00000000" w:rsidP="00000000" w:rsidRDefault="00000000" w:rsidRPr="00000000" w14:paraId="000000DE">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Two caveats for developers: (1) federal preemption under the AEA and Hazardous Materials Transportation Act limits the enforceability of the transportation ban against NRC-licensed shipments, as illustrated by the 2024 Energy Fuels uranium transport dispute; (2) the bans target mining, milling, processing, and transport — not reactor operation per se — but they signal a strong political posture against the broader nuclear fuel cycle. A reactor proposal on Navajo land would face significant political headwinds even if technically distinguishable from the prohibited activities.</w:t>
      </w:r>
      <w:r w:rsidDel="00000000" w:rsidR="00000000" w:rsidRPr="00000000">
        <w:rPr>
          <w:rFonts w:ascii="Inter" w:cs="Inter" w:eastAsia="Inter" w:hAnsi="Inter"/>
          <w:color w:val="0563c1"/>
          <w:sz w:val="16"/>
          <w:szCs w:val="16"/>
          <w:vertAlign w:val="superscript"/>
          <w:rtl w:val="0"/>
        </w:rPr>
        <w:t xml:space="preserve">[30,33]</w:t>
      </w:r>
      <w:r w:rsidDel="00000000" w:rsidR="00000000" w:rsidRPr="00000000">
        <w:rPr>
          <w:rtl w:val="0"/>
        </w:rPr>
      </w:r>
    </w:p>
    <w:p w:rsidR="00000000" w:rsidDel="00000000" w:rsidP="00000000" w:rsidRDefault="00000000" w:rsidRPr="00000000" w14:paraId="000000DF">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Other Tribes with restrictive nuclear positions:</w:t>
      </w:r>
      <w:r w:rsidDel="00000000" w:rsidR="00000000" w:rsidRPr="00000000">
        <w:rPr>
          <w:rtl w:val="0"/>
        </w:rPr>
      </w:r>
    </w:p>
    <w:p w:rsidR="00000000" w:rsidDel="00000000" w:rsidP="00000000" w:rsidRDefault="00000000" w:rsidRPr="00000000" w14:paraId="000000E0">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Several Tribes have, through tribal council resolution or referendum, formally opposed nuclear waste storage or specific nuclear projects. The Mescalero Apache Tribe (NM) rejected a Monitored Retrievable Storage (MRS) facility by a 490–362 referendum in 1995 after years of negotiation. The Tonkawa Tribe (OK) held a popular referendum in 1994 rejecting MRS hosting.</w:t>
      </w:r>
      <w:r w:rsidDel="00000000" w:rsidR="00000000" w:rsidRPr="00000000">
        <w:rPr>
          <w:rFonts w:ascii="Inter" w:cs="Inter" w:eastAsia="Inter" w:hAnsi="Inter"/>
          <w:color w:val="0563c1"/>
          <w:sz w:val="16"/>
          <w:szCs w:val="16"/>
          <w:vertAlign w:val="superscript"/>
          <w:rtl w:val="0"/>
        </w:rPr>
        <w:t xml:space="preserve">[57]</w:t>
      </w:r>
      <w:r w:rsidDel="00000000" w:rsidR="00000000" w:rsidRPr="00000000">
        <w:rPr>
          <w:rtl w:val="0"/>
        </w:rPr>
      </w:r>
    </w:p>
    <w:p w:rsidR="00000000" w:rsidDel="00000000" w:rsidP="00000000" w:rsidRDefault="00000000" w:rsidRPr="00000000" w14:paraId="000000E1">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Tribes that have engaged constructively with nuclear:</w:t>
      </w:r>
      <w:r w:rsidDel="00000000" w:rsidR="00000000" w:rsidRPr="00000000">
        <w:rPr>
          <w:rtl w:val="0"/>
        </w:rPr>
      </w:r>
    </w:p>
    <w:p w:rsidR="00000000" w:rsidDel="00000000" w:rsidP="00000000" w:rsidRDefault="00000000" w:rsidRPr="00000000" w14:paraId="000000E2">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Skull Valley Band of Goshutes (UT) is the clearest example of a Tribe that codified an affirmative nuclear-hosting framework, negotiating a lease with Private Fuel Storage and securing an NRC-issued license for an Independent Spent Fuel Storage Installation (ISFSI). The project was ultimately not built because of </w:t>
      </w:r>
      <w:sdt>
        <w:sdtPr>
          <w:id w:val="1659792205"/>
          <w:tag w:val="goog_rdk_0"/>
        </w:sdtPr>
        <w:sdtContent>
          <w:commentRangeStart w:id="0"/>
        </w:sdtContent>
      </w:sdt>
      <w:sdt>
        <w:sdtPr>
          <w:id w:val="1902431013"/>
          <w:tag w:val="goog_rdk_1"/>
        </w:sdtPr>
        <w:sdtContent>
          <w:commentRangeStart w:id="1"/>
        </w:sdtContent>
      </w:sdt>
      <w:r w:rsidDel="00000000" w:rsidR="00000000" w:rsidRPr="00000000">
        <w:rPr>
          <w:rFonts w:ascii="Inter" w:cs="Inter" w:eastAsia="Inter" w:hAnsi="Inter"/>
          <w:sz w:val="16"/>
          <w:szCs w:val="16"/>
          <w:rtl w:val="0"/>
        </w:rPr>
        <w:t xml:space="preserve">separate BLM/BIA permit denials and federal land-use objections, not because of tribal-law obstacles.</w:t>
      </w:r>
      <w:commentRangeEnd w:id="0"/>
      <w:r w:rsidDel="00000000" w:rsidR="00000000" w:rsidRPr="00000000">
        <w:commentReference w:id="0"/>
      </w:r>
      <w:commentRangeEnd w:id="1"/>
      <w:r w:rsidDel="00000000" w:rsidR="00000000" w:rsidRPr="00000000">
        <w:commentReference w:id="1"/>
      </w:r>
      <w:r w:rsidDel="00000000" w:rsidR="00000000" w:rsidRPr="00000000">
        <w:rPr>
          <w:rFonts w:ascii="Inter" w:cs="Inter" w:eastAsia="Inter" w:hAnsi="Inter"/>
          <w:sz w:val="16"/>
          <w:szCs w:val="16"/>
          <w:rtl w:val="0"/>
        </w:rPr>
        <w:t xml:space="preserve"> The episode is the leading reference point on the legal mechanics of tribally consented nuclear siting under federal pre-emption. To our knowledge, no Tribe has yet codified a comprehensive nuclear “enabling” regulatory framework for advanced reactor deployment. For a developer, the early-stage diligence question is therefore not “does this Tribe have a nuclear code we must comply with” but “does this Tribe have a moratorium, transport ban, or anti-nuclear resolution we need to address — and if not, what siting consent and tribal environmental review process applies.”</w:t>
      </w:r>
      <w:r w:rsidDel="00000000" w:rsidR="00000000" w:rsidRPr="00000000">
        <w:rPr>
          <w:rFonts w:ascii="Inter" w:cs="Inter" w:eastAsia="Inter" w:hAnsi="Inter"/>
          <w:color w:val="0563c1"/>
          <w:sz w:val="16"/>
          <w:szCs w:val="16"/>
          <w:vertAlign w:val="superscript"/>
          <w:rtl w:val="0"/>
        </w:rPr>
        <w:t xml:space="preserve">[31]</w:t>
      </w:r>
      <w:r w:rsidDel="00000000" w:rsidR="00000000" w:rsidRPr="00000000">
        <w:rPr>
          <w:rtl w:val="0"/>
        </w:rPr>
      </w:r>
    </w:p>
    <w:p w:rsidR="00000000" w:rsidDel="00000000" w:rsidP="00000000" w:rsidRDefault="00000000" w:rsidRPr="00000000" w14:paraId="000000E3">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5.3 Tribal Lands Shapefiles for Mapping</w:t>
      </w:r>
    </w:p>
    <w:p w:rsidR="00000000" w:rsidDel="00000000" w:rsidP="00000000" w:rsidRDefault="00000000" w:rsidRPr="00000000" w14:paraId="000000E4">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primary recommendation </w:t>
      </w:r>
      <w:r w:rsidDel="00000000" w:rsidR="00000000" w:rsidRPr="00000000">
        <w:rPr>
          <w:rFonts w:ascii="Inter" w:cs="Inter" w:eastAsia="Inter" w:hAnsi="Inter"/>
          <w:b w:val="1"/>
          <w:bCs w:val="1"/>
          <w:sz w:val="16"/>
          <w:szCs w:val="16"/>
          <w:rtl w:val="0"/>
        </w:rPr>
        <w:t xml:space="preserve">for §48E(h) eligibility maps is </w:t>
      </w:r>
      <w:r w:rsidDel="00000000" w:rsidR="00000000" w:rsidRPr="00000000">
        <w:rPr>
          <w:rFonts w:ascii="Inter" w:cs="Inter" w:eastAsia="Inter" w:hAnsi="Inter"/>
          <w:sz w:val="16"/>
          <w:szCs w:val="16"/>
          <w:rtl w:val="0"/>
        </w:rPr>
        <w:t xml:space="preserve">using the BIA AIAN-LAR layer as the primary tribal-lands geometry, supplemented with Census AIANNH for Alaska Native Corporation regions and Hawaiian Home Lands (both of which are within the §48E(h) statutory definition of “Indian Land”).</w:t>
      </w:r>
    </w:p>
    <w:p w:rsidR="00000000" w:rsidDel="00000000" w:rsidP="00000000" w:rsidRDefault="00000000" w:rsidRPr="00000000" w14:paraId="000000E5">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BIA AIAN-LAR:</w:t>
      </w:r>
      <w:r w:rsidDel="00000000" w:rsidR="00000000" w:rsidRPr="00000000">
        <w:rPr>
          <w:rFonts w:ascii="Inter" w:cs="Inter" w:eastAsia="Inter" w:hAnsi="Inter"/>
          <w:sz w:val="16"/>
          <w:szCs w:val="16"/>
          <w:rtl w:val="0"/>
        </w:rPr>
        <w:t xml:space="preserve"> </w:t>
      </w:r>
    </w:p>
    <w:p w:rsidR="00000000" w:rsidDel="00000000" w:rsidP="00000000" w:rsidRDefault="00000000" w:rsidRPr="00000000" w14:paraId="000000E6">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Bureau of Indian Affairs (BIA) Branch of Geospatial Support (BOGS) maintains the American Indian and Alaska Native Land Area Representation (AIAN-LAR) dataset. This is the federal government’s authoritative depiction of the external extent of federal Indian reservations, trust lands, restricted fee, and mixed ownership tracts for federally recognized Tribes, plus Public Domain Allotments, Dependent Indian Communities, and Homesteads. It is the dataset NTIA used for broadband-funding eligibility determinations, and the one most appropriate for incentive-eligibility analysis under the §48E(h) “Indian Land” definition, which tracks 25 U.S.C. §3501(2). Download portals: </w:t>
      </w:r>
    </w:p>
    <w:p w:rsidR="00000000" w:rsidDel="00000000" w:rsidP="00000000" w:rsidRDefault="00000000" w:rsidRPr="00000000" w14:paraId="000000E7">
      <w:pPr>
        <w:spacing w:after="120" w:lineRule="auto"/>
        <w:rPr>
          <w:rFonts w:ascii="Inter" w:cs="Inter" w:eastAsia="Inter" w:hAnsi="Inter"/>
          <w:sz w:val="16"/>
          <w:szCs w:val="16"/>
        </w:rPr>
      </w:pPr>
      <w:hyperlink r:id="rId9">
        <w:r w:rsidDel="00000000" w:rsidR="00000000" w:rsidRPr="00000000">
          <w:rPr>
            <w:rFonts w:ascii="Inter" w:cs="Inter" w:eastAsia="Inter" w:hAnsi="Inter"/>
            <w:color w:val="0563c1"/>
            <w:sz w:val="16"/>
            <w:szCs w:val="16"/>
            <w:u w:val="single"/>
            <w:rtl w:val="0"/>
          </w:rPr>
          <w:t xml:space="preserve">biamaps</w:t>
        </w:r>
      </w:hyperlink>
      <w:r w:rsidDel="00000000" w:rsidR="00000000" w:rsidRPr="00000000">
        <w:rPr>
          <w:rFonts w:ascii="Inter" w:cs="Inter" w:eastAsia="Inter" w:hAnsi="Inter"/>
          <w:sz w:val="16"/>
          <w:szCs w:val="16"/>
          <w:rtl w:val="0"/>
        </w:rPr>
        <w:t xml:space="preserve"> </w:t>
      </w:r>
      <w:hyperlink r:id="rId10">
        <w:r w:rsidDel="00000000" w:rsidR="00000000" w:rsidRPr="00000000">
          <w:rPr>
            <w:rFonts w:ascii="Inter" w:cs="Inter" w:eastAsia="Inter" w:hAnsi="Inter"/>
            <w:color w:val="0563c1"/>
            <w:sz w:val="16"/>
            <w:szCs w:val="16"/>
            <w:u w:val="single"/>
            <w:rtl w:val="0"/>
          </w:rPr>
          <w:t xml:space="preserve">https://experience.arcgis.com/experience/49fe6d3b860d47c588db75074fa42309/page/Page</w:t>
        </w:r>
      </w:hyperlink>
      <w:r w:rsidDel="00000000" w:rsidR="00000000" w:rsidRPr="00000000">
        <w:rPr>
          <w:rFonts w:ascii="Inter" w:cs="Inter" w:eastAsia="Inter" w:hAnsi="Inter"/>
          <w:color w:val="0563c1"/>
          <w:sz w:val="16"/>
          <w:szCs w:val="16"/>
          <w:vertAlign w:val="superscript"/>
          <w:rtl w:val="0"/>
        </w:rPr>
        <w:t xml:space="preserve">[34]</w:t>
      </w:r>
      <w:r w:rsidDel="00000000" w:rsidR="00000000" w:rsidRPr="00000000">
        <w:rPr>
          <w:rtl w:val="0"/>
        </w:rPr>
      </w:r>
    </w:p>
    <w:p w:rsidR="00000000" w:rsidDel="00000000" w:rsidP="00000000" w:rsidRDefault="00000000" w:rsidRPr="00000000" w14:paraId="000000E8">
      <w:pPr>
        <w:spacing w:after="120" w:lineRule="auto"/>
        <w:rPr>
          <w:rFonts w:ascii="Inter" w:cs="Inter" w:eastAsia="Inter" w:hAnsi="Inter"/>
          <w:color w:val="0563c1"/>
          <w:sz w:val="16"/>
          <w:szCs w:val="16"/>
          <w:vertAlign w:val="superscript"/>
        </w:rPr>
      </w:pPr>
      <w:r w:rsidDel="00000000" w:rsidR="00000000" w:rsidRPr="00000000">
        <w:rPr>
          <w:rFonts w:ascii="Inter" w:cs="Inter" w:eastAsia="Inter" w:hAnsi="Inter"/>
          <w:b w:val="1"/>
          <w:bCs w:val="1"/>
          <w:sz w:val="16"/>
          <w:szCs w:val="16"/>
          <w:rtl w:val="0"/>
        </w:rPr>
        <w:t xml:space="preserve">Census Bureau TIGER/Line AIANNH</w:t>
      </w:r>
      <w:r w:rsidDel="00000000" w:rsidR="00000000" w:rsidRPr="00000000">
        <w:rPr>
          <w:rFonts w:ascii="Inter" w:cs="Inter" w:eastAsia="Inter" w:hAnsi="Inter"/>
          <w:b w:val="1"/>
          <w:bCs w:val="1"/>
          <w:sz w:val="16"/>
          <w:szCs w:val="16"/>
          <w:rtl w:val="0"/>
        </w:rPr>
        <w:t xml:space="preserve">:</w:t>
      </w:r>
      <w:r w:rsidDel="00000000" w:rsidR="00000000" w:rsidRPr="00000000">
        <w:rPr>
          <w:rFonts w:ascii="Inter" w:cs="Inter" w:eastAsia="Inter" w:hAnsi="Inter"/>
          <w:sz w:val="16"/>
          <w:szCs w:val="16"/>
          <w:rtl w:val="0"/>
        </w:rPr>
        <w:t xml:space="preserve"> The Census Bureau’s American Indian/Alaska Native/Native Hawaiian Areas (AIANNH) TIGER/Line shapefiles, updated annually as part of the Boundary and Annexation Survey, include federally recognized reservations, off-reservation trust lands, state-recognized reservations, Statistical Designated Tribal Statistical Areas (SDTSAs), Oklahoma Tribal Statistical Areas (OTSAs), Alaska Native Village Statistical Areas (ANVSAs), Tribal Designated Statistical Areas (TDSAs), and Hawaiian Home Lands. Useful when the analytic question includes statistical areas or Census demography</w:t>
      </w:r>
      <w:r w:rsidDel="00000000" w:rsidR="00000000" w:rsidRPr="00000000">
        <w:rPr>
          <w:rFonts w:ascii="Inter" w:cs="Inter" w:eastAsia="Inter" w:hAnsi="Inter"/>
          <w:color w:val="0563c1"/>
          <w:sz w:val="16"/>
          <w:szCs w:val="16"/>
          <w:vertAlign w:val="superscript"/>
          <w:rtl w:val="0"/>
        </w:rPr>
        <w:t xml:space="preserve">[35]</w:t>
      </w:r>
      <w:r w:rsidDel="00000000" w:rsidR="00000000" w:rsidRPr="00000000">
        <w:rPr>
          <w:rFonts w:ascii="Inter" w:cs="Inter" w:eastAsia="Inter" w:hAnsi="Inter"/>
          <w:sz w:val="16"/>
          <w:szCs w:val="16"/>
          <w:rtl w:val="0"/>
        </w:rPr>
        <w:t xml:space="preserve">. Usage:</w:t>
      </w:r>
      <w:r w:rsidDel="00000000" w:rsidR="00000000" w:rsidRPr="00000000">
        <w:rPr>
          <w:rtl w:val="0"/>
        </w:rPr>
      </w:r>
    </w:p>
    <w:p w:rsidR="00000000" w:rsidDel="00000000" w:rsidP="00000000" w:rsidRDefault="00000000" w:rsidRPr="00000000" w14:paraId="000000E9">
      <w:pPr>
        <w:spacing w:after="120" w:lineRule="auto"/>
        <w:ind w:left="720" w:firstLine="0"/>
        <w:rPr>
          <w:rFonts w:ascii="Inter" w:cs="Inter" w:eastAsia="Inter" w:hAnsi="Inter"/>
          <w:b w:val="1"/>
          <w:bCs w:val="1"/>
          <w:i w:val="1"/>
          <w:iCs w:val="1"/>
          <w:sz w:val="16"/>
          <w:szCs w:val="16"/>
        </w:rPr>
      </w:pPr>
      <w:r w:rsidDel="00000000" w:rsidR="00000000" w:rsidRPr="00000000">
        <w:rPr>
          <w:rFonts w:ascii="Inter" w:cs="Inter" w:eastAsia="Inter" w:hAnsi="Inter"/>
          <w:b w:val="1"/>
          <w:bCs w:val="1"/>
          <w:i w:val="1"/>
          <w:iCs w:val="1"/>
          <w:sz w:val="16"/>
          <w:szCs w:val="16"/>
          <w:rtl w:val="0"/>
        </w:rPr>
        <w:t xml:space="preserve">Step 1: Download the file</w:t>
      </w:r>
    </w:p>
    <w:p w:rsidR="00000000" w:rsidDel="00000000" w:rsidP="00000000" w:rsidRDefault="00000000" w:rsidRPr="00000000" w14:paraId="000000EA">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Go to </w:t>
      </w:r>
      <w:hyperlink r:id="rId11">
        <w:r w:rsidDel="00000000" w:rsidR="00000000" w:rsidRPr="00000000">
          <w:rPr>
            <w:rFonts w:ascii="Inter" w:cs="Inter" w:eastAsia="Inter" w:hAnsi="Inter"/>
            <w:color w:val="1155cc"/>
            <w:sz w:val="16"/>
            <w:szCs w:val="16"/>
            <w:u w:val="single"/>
            <w:rtl w:val="0"/>
          </w:rPr>
          <w:t xml:space="preserve">https://www.census.gov/geographies/mapping-files/time-series/geo/tiger-line-file.html</w:t>
        </w:r>
      </w:hyperlink>
      <w:r w:rsidDel="00000000" w:rsidR="00000000" w:rsidRPr="00000000">
        <w:rPr>
          <w:rFonts w:ascii="Inter" w:cs="Inter" w:eastAsia="Inter" w:hAnsi="Inter"/>
          <w:sz w:val="16"/>
          <w:szCs w:val="16"/>
          <w:rtl w:val="0"/>
        </w:rPr>
        <w:tab/>
      </w:r>
    </w:p>
    <w:p w:rsidR="00000000" w:rsidDel="00000000" w:rsidP="00000000" w:rsidRDefault="00000000" w:rsidRPr="00000000" w14:paraId="000000EB">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Click "Web Interface".</w:t>
      </w:r>
    </w:p>
    <w:p w:rsidR="00000000" w:rsidDel="00000000" w:rsidP="00000000" w:rsidRDefault="00000000" w:rsidRPr="00000000" w14:paraId="000000EC">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Select most recent year &amp; layer type = “American Indian Area Geography”.</w:t>
      </w:r>
    </w:p>
    <w:p w:rsidR="00000000" w:rsidDel="00000000" w:rsidP="00000000" w:rsidRDefault="00000000" w:rsidRPr="00000000" w14:paraId="000000ED">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Click Submit</w:t>
      </w:r>
    </w:p>
    <w:p w:rsidR="00000000" w:rsidDel="00000000" w:rsidP="00000000" w:rsidRDefault="00000000" w:rsidRPr="00000000" w14:paraId="000000EE">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Look for "American Indian/Alaska Native/Native Hawaiian Areas" under the national-level files. Download national file</w:t>
      </w:r>
    </w:p>
    <w:p w:rsidR="00000000" w:rsidDel="00000000" w:rsidP="00000000" w:rsidRDefault="00000000" w:rsidRPr="00000000" w14:paraId="000000EF">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Download the zip.</w:t>
      </w:r>
    </w:p>
    <w:p w:rsidR="00000000" w:rsidDel="00000000" w:rsidP="00000000" w:rsidRDefault="00000000" w:rsidRPr="00000000" w14:paraId="000000F0">
      <w:pPr>
        <w:spacing w:after="120" w:lineRule="auto"/>
        <w:ind w:firstLine="720"/>
        <w:rPr>
          <w:rFonts w:ascii="Inter" w:cs="Inter" w:eastAsia="Inter" w:hAnsi="Inter"/>
          <w:sz w:val="16"/>
          <w:szCs w:val="16"/>
        </w:rPr>
      </w:pPr>
      <w:hyperlink r:id="rId12">
        <w:r w:rsidDel="00000000" w:rsidR="00000000" w:rsidRPr="00000000">
          <w:rPr>
            <w:rFonts w:ascii="Inter" w:cs="Inter" w:eastAsia="Inter" w:hAnsi="Inter"/>
            <w:color w:val="1155cc"/>
            <w:sz w:val="16"/>
            <w:szCs w:val="16"/>
            <w:u w:val="single"/>
            <w:rtl w:val="0"/>
          </w:rPr>
          <w:t xml:space="preserve">Downloaded Dataset</w:t>
        </w:r>
      </w:hyperlink>
      <w:r w:rsidDel="00000000" w:rsidR="00000000" w:rsidRPr="00000000">
        <w:rPr>
          <w:rtl w:val="0"/>
        </w:rPr>
      </w:r>
    </w:p>
    <w:p w:rsidR="00000000" w:rsidDel="00000000" w:rsidP="00000000" w:rsidRDefault="00000000" w:rsidRPr="00000000" w14:paraId="000000F1">
      <w:pPr>
        <w:spacing w:after="120" w:lineRule="auto"/>
        <w:ind w:left="720" w:firstLine="0"/>
        <w:rPr>
          <w:rFonts w:ascii="Inter" w:cs="Inter" w:eastAsia="Inter" w:hAnsi="Inter"/>
          <w:sz w:val="16"/>
          <w:szCs w:val="16"/>
        </w:rPr>
      </w:pPr>
      <w:r w:rsidDel="00000000" w:rsidR="00000000" w:rsidRPr="00000000">
        <w:rPr>
          <w:rFonts w:ascii="Inter" w:cs="Inter" w:eastAsia="Inter" w:hAnsi="Inter"/>
          <w:b w:val="1"/>
          <w:bCs w:val="1"/>
          <w:i w:val="1"/>
          <w:iCs w:val="1"/>
          <w:sz w:val="16"/>
          <w:szCs w:val="16"/>
          <w:rtl w:val="0"/>
        </w:rPr>
        <w:t xml:space="preserve">Step 2: Visualize the file</w:t>
      </w:r>
      <w:r w:rsidDel="00000000" w:rsidR="00000000" w:rsidRPr="00000000">
        <w:rPr>
          <w:rtl w:val="0"/>
        </w:rPr>
      </w:r>
    </w:p>
    <w:p w:rsidR="00000000" w:rsidDel="00000000" w:rsidP="00000000" w:rsidRDefault="00000000" w:rsidRPr="00000000" w14:paraId="000000F2">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Use this </w:t>
      </w:r>
      <w:r w:rsidDel="00000000" w:rsidR="00000000" w:rsidRPr="00000000">
        <w:rPr>
          <w:rFonts w:ascii="Inter" w:cs="Inter" w:eastAsia="Inter" w:hAnsi="Inter"/>
          <w:b w:val="1"/>
          <w:bCs w:val="1"/>
          <w:sz w:val="16"/>
          <w:szCs w:val="16"/>
          <w:rtl w:val="0"/>
        </w:rPr>
        <w:t xml:space="preserve">Web-based / no-install tool for viewing</w:t>
      </w:r>
      <w:r w:rsidDel="00000000" w:rsidR="00000000" w:rsidRPr="00000000">
        <w:rPr>
          <w:rFonts w:ascii="Inter" w:cs="Inter" w:eastAsia="Inter" w:hAnsi="Inter"/>
          <w:sz w:val="16"/>
          <w:szCs w:val="16"/>
          <w:rtl w:val="0"/>
        </w:rPr>
        <w:t xml:space="preserve"> Upload the shapefile (zipped) to </w:t>
      </w:r>
      <w:hyperlink r:id="rId13">
        <w:r w:rsidDel="00000000" w:rsidR="00000000" w:rsidRPr="00000000">
          <w:rPr>
            <w:rFonts w:ascii="Inter" w:cs="Inter" w:eastAsia="Inter" w:hAnsi="Inter"/>
            <w:color w:val="0563c1"/>
            <w:sz w:val="16"/>
            <w:szCs w:val="16"/>
            <w:u w:val="single"/>
            <w:rtl w:val="0"/>
          </w:rPr>
          <w:t xml:space="preserve">https://mapshaper.org</w:t>
        </w:r>
      </w:hyperlink>
      <w:r w:rsidDel="00000000" w:rsidR="00000000" w:rsidRPr="00000000">
        <w:rPr>
          <w:rFonts w:ascii="Inter" w:cs="Inter" w:eastAsia="Inter" w:hAnsi="Inter"/>
          <w:sz w:val="16"/>
          <w:szCs w:val="16"/>
          <w:rtl w:val="0"/>
        </w:rPr>
        <w:t xml:space="preserve"> to inspect it in a browser. Mapshaper also lets you convert it to GeoJSON if your downstream tool wants that format instead.</w:t>
      </w:r>
    </w:p>
    <w:p w:rsidR="00000000" w:rsidDel="00000000" w:rsidP="00000000" w:rsidRDefault="00000000" w:rsidRPr="00000000" w14:paraId="000000F3">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Add the map layer on the top left:</w:t>
      </w:r>
    </w:p>
    <w:p w:rsidR="00000000" w:rsidDel="00000000" w:rsidP="00000000" w:rsidRDefault="00000000" w:rsidRPr="00000000" w14:paraId="000000F4">
      <w:pPr>
        <w:spacing w:after="120" w:lineRule="auto"/>
        <w:ind w:left="720" w:firstLine="0"/>
        <w:rPr>
          <w:rFonts w:ascii="Inter" w:cs="Inter" w:eastAsia="Inter" w:hAnsi="Inter"/>
          <w:sz w:val="14"/>
          <w:szCs w:val="14"/>
        </w:rPr>
      </w:pPr>
      <w:r w:rsidDel="00000000" w:rsidR="00000000" w:rsidRPr="00000000">
        <w:rPr>
          <w:rFonts w:ascii="Inter" w:cs="Inter" w:eastAsia="Inter" w:hAnsi="Inter"/>
          <w:sz w:val="14"/>
          <w:szCs w:val="14"/>
        </w:rPr>
        <w:drawing>
          <wp:inline distB="0" distT="0" distL="0" distR="0">
            <wp:extent cx="5943600" cy="63309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63309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lineRule="auto"/>
        <w:ind w:left="720" w:firstLine="0"/>
        <w:rPr>
          <w:rFonts w:ascii="Inter" w:cs="Inter" w:eastAsia="Inter" w:hAnsi="Inter"/>
          <w:sz w:val="14"/>
          <w:szCs w:val="14"/>
        </w:rPr>
      </w:pPr>
      <w:r w:rsidDel="00000000" w:rsidR="00000000" w:rsidRPr="00000000">
        <w:rPr>
          <w:rtl w:val="0"/>
        </w:rPr>
      </w:r>
    </w:p>
    <w:p w:rsidR="00000000" w:rsidDel="00000000" w:rsidP="00000000" w:rsidRDefault="00000000" w:rsidRPr="00000000" w14:paraId="000000F6">
      <w:pPr>
        <w:spacing w:after="120" w:lineRule="auto"/>
        <w:ind w:left="720" w:firstLine="0"/>
        <w:rPr>
          <w:rFonts w:ascii="Inter" w:cs="Inter" w:eastAsia="Inter" w:hAnsi="Inter"/>
          <w:sz w:val="14"/>
          <w:szCs w:val="14"/>
        </w:rPr>
      </w:pPr>
      <w:r w:rsidDel="00000000" w:rsidR="00000000" w:rsidRPr="00000000">
        <w:rPr>
          <w:rFonts w:ascii="Inter" w:cs="Inter" w:eastAsia="Inter" w:hAnsi="Inter"/>
          <w:sz w:val="14"/>
          <w:szCs w:val="14"/>
          <w:rtl w:val="0"/>
        </w:rPr>
        <w:t xml:space="preserve">Click on the cursor icon and select “inspect features”.</w:t>
      </w:r>
    </w:p>
    <w:p w:rsidR="00000000" w:rsidDel="00000000" w:rsidP="00000000" w:rsidRDefault="00000000" w:rsidRPr="00000000" w14:paraId="000000F7">
      <w:pPr>
        <w:spacing w:after="120" w:lineRule="auto"/>
        <w:ind w:left="720" w:firstLine="0"/>
        <w:rPr>
          <w:rFonts w:ascii="Inter" w:cs="Inter" w:eastAsia="Inter" w:hAnsi="Inter"/>
          <w:sz w:val="14"/>
          <w:szCs w:val="14"/>
        </w:rPr>
      </w:pPr>
      <w:r w:rsidDel="00000000" w:rsidR="00000000" w:rsidRPr="00000000">
        <w:rPr>
          <w:rFonts w:ascii="Inter" w:cs="Inter" w:eastAsia="Inter" w:hAnsi="Inter"/>
          <w:sz w:val="14"/>
          <w:szCs w:val="14"/>
        </w:rPr>
        <w:drawing>
          <wp:inline distB="0" distT="0" distL="0" distR="0">
            <wp:extent cx="1260008" cy="1580118"/>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260008" cy="158011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Hover over any delimited are in the map to view its characteristics:</w:t>
      </w:r>
    </w:p>
    <w:p w:rsidR="00000000" w:rsidDel="00000000" w:rsidP="00000000" w:rsidRDefault="00000000" w:rsidRPr="00000000" w14:paraId="000000F9">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GEOID — unique Census identifier </w:t>
      </w:r>
    </w:p>
    <w:p w:rsidR="00000000" w:rsidDel="00000000" w:rsidP="00000000" w:rsidRDefault="00000000" w:rsidRPr="00000000" w14:paraId="000000FA">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NAME — tribe or area name (e.g., "Navajo Nation Reservation and Off-Reservation Trust Land") </w:t>
      </w:r>
    </w:p>
    <w:p w:rsidR="00000000" w:rsidDel="00000000" w:rsidP="00000000" w:rsidRDefault="00000000" w:rsidRPr="00000000" w14:paraId="000000FB">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NAMELSAD — name plus legal/statistical descriptor </w:t>
      </w:r>
    </w:p>
    <w:p w:rsidR="00000000" w:rsidDel="00000000" w:rsidP="00000000" w:rsidRDefault="00000000" w:rsidRPr="00000000" w14:paraId="000000FC">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CLASSFP — class code that distinguishes federal reservation from state reservation from OTSA, etc. </w:t>
      </w:r>
    </w:p>
    <w:p w:rsidR="00000000" w:rsidDel="00000000" w:rsidP="00000000" w:rsidRDefault="00000000" w:rsidRPr="00000000" w14:paraId="000000FD">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MTFCC — feature class code (G2100 = federal reservation, G2140 = OTSA, G2160 = ANVSA, etc.) </w:t>
      </w:r>
    </w:p>
    <w:p w:rsidR="00000000" w:rsidDel="00000000" w:rsidP="00000000" w:rsidRDefault="00000000" w:rsidRPr="00000000" w14:paraId="000000FE">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ALAND / AWATER — land and water area in square meters</w:t>
      </w:r>
    </w:p>
    <w:p w:rsidR="00000000" w:rsidDel="00000000" w:rsidP="00000000" w:rsidRDefault="00000000" w:rsidRPr="00000000" w14:paraId="000000FF">
      <w:pPr>
        <w:spacing w:after="120" w:lineRule="auto"/>
        <w:rPr>
          <w:rFonts w:ascii="Inter" w:cs="Inter" w:eastAsia="Inter" w:hAnsi="Inter"/>
          <w:sz w:val="14"/>
          <w:szCs w:val="14"/>
        </w:rPr>
      </w:pPr>
      <w:r w:rsidDel="00000000" w:rsidR="00000000" w:rsidRPr="00000000">
        <w:rPr>
          <w:rtl w:val="0"/>
        </w:rPr>
      </w:r>
    </w:p>
    <w:p w:rsidR="00000000" w:rsidDel="00000000" w:rsidP="00000000" w:rsidRDefault="00000000" w:rsidRPr="00000000" w14:paraId="00000100">
      <w:pPr>
        <w:pStyle w:val="Heading2"/>
        <w:rPr>
          <w:rFonts w:ascii="Inter" w:cs="Inter" w:eastAsia="Inter" w:hAnsi="Inter"/>
          <w:sz w:val="18"/>
          <w:szCs w:val="18"/>
        </w:rPr>
      </w:pPr>
      <w:r w:rsidDel="00000000" w:rsidR="00000000" w:rsidRPr="00000000">
        <w:rPr>
          <w:rFonts w:ascii="Inter" w:cs="Inter" w:eastAsia="Inter" w:hAnsi="Inter"/>
          <w:sz w:val="18"/>
          <w:szCs w:val="18"/>
          <w:rtl w:val="0"/>
        </w:rPr>
        <w:t xml:space="preserve">5.4 Energy Community Bonus Shapefiles for Mapping</w:t>
      </w:r>
    </w:p>
    <w:p w:rsidR="00000000" w:rsidDel="00000000" w:rsidP="00000000" w:rsidRDefault="00000000" w:rsidRPr="00000000" w14:paraId="00000101">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The +10% Energy Community ITC adder has three statutory categories (brownfield, coal closure census tract, and fossil-fuel statistical area meeting the 0.17% employment / 25% tax revenue test), and the public spatial data covers two of them directly.</w:t>
      </w:r>
    </w:p>
    <w:p w:rsidR="00000000" w:rsidDel="00000000" w:rsidP="00000000" w:rsidRDefault="00000000" w:rsidRPr="00000000" w14:paraId="00000102">
      <w:pPr>
        <w:spacing w:after="120" w:lineRule="auto"/>
        <w:rPr>
          <w:rFonts w:ascii="Inter" w:cs="Inter" w:eastAsia="Inter" w:hAnsi="Inter"/>
          <w:color w:val="0563c1"/>
          <w:sz w:val="16"/>
          <w:szCs w:val="16"/>
          <w:vertAlign w:val="superscript"/>
        </w:rPr>
      </w:pPr>
      <w:r w:rsidDel="00000000" w:rsidR="00000000" w:rsidRPr="00000000">
        <w:rPr>
          <w:rFonts w:ascii="Inter" w:cs="Inter" w:eastAsia="Inter" w:hAnsi="Inter"/>
          <w:b w:val="1"/>
          <w:bCs w:val="1"/>
          <w:sz w:val="16"/>
          <w:szCs w:val="16"/>
          <w:rtl w:val="0"/>
        </w:rPr>
        <w:t xml:space="preserve">Primary source — DOE/NETL EDX:</w:t>
      </w:r>
      <w:r w:rsidDel="00000000" w:rsidR="00000000" w:rsidRPr="00000000">
        <w:rPr>
          <w:rFonts w:ascii="Inter" w:cs="Inter" w:eastAsia="Inter" w:hAnsi="Inter"/>
          <w:sz w:val="16"/>
          <w:szCs w:val="16"/>
          <w:rtl w:val="0"/>
        </w:rPr>
        <w:t xml:space="preserve"> The IRA Energy Community Data Layers are published by DOE’s National Energy Technology Laboratory on the Energy Data eXchange portal.The package includes two GIS layers: (1) census tracts (and directly adjoining tracts) with coal mine closures since 1999 or coal-fired electric generating unit retirements since 2009 — these tracts qualify as energy communities; (2) Metropolitan Statistical Areas and non-MSAs that meet the Fossil Fuel Employment threshold and unemployment rate requirement. Note that brownfields are not shown on this map. The data is updated annually as the FFE/unemployment determinations are republished by IRS Notice (most recently in the 2024 release). Service layers feed the NETL ArcGIS mapping tool at </w:t>
      </w:r>
      <w:hyperlink r:id="rId16">
        <w:r w:rsidDel="00000000" w:rsidR="00000000" w:rsidRPr="00000000">
          <w:rPr>
            <w:rFonts w:ascii="Inter" w:cs="Inter" w:eastAsia="Inter" w:hAnsi="Inter"/>
            <w:color w:val="0563c1"/>
            <w:sz w:val="16"/>
            <w:szCs w:val="16"/>
            <w:u w:val="single"/>
            <w:rtl w:val="0"/>
          </w:rPr>
          <w:t xml:space="preserve">arcgis.netl.doe.gov/portal/apps/experiencebuilder/experience/?id=a2ce47d4721a477a8701bd0e08495e1d</w:t>
        </w:r>
      </w:hyperlink>
      <w:r w:rsidDel="00000000" w:rsidR="00000000" w:rsidRPr="00000000">
        <w:rPr>
          <w:rFonts w:ascii="Inter" w:cs="Inter" w:eastAsia="Inter" w:hAnsi="Inter"/>
          <w:sz w:val="16"/>
          <w:szCs w:val="16"/>
          <w:rtl w:val="0"/>
        </w:rPr>
        <w:t xml:space="preserve">.</w:t>
      </w:r>
      <w:r w:rsidDel="00000000" w:rsidR="00000000" w:rsidRPr="00000000">
        <w:rPr>
          <w:rFonts w:ascii="Inter" w:cs="Inter" w:eastAsia="Inter" w:hAnsi="Inter"/>
          <w:color w:val="0563c1"/>
          <w:sz w:val="16"/>
          <w:szCs w:val="16"/>
          <w:vertAlign w:val="superscript"/>
          <w:rtl w:val="0"/>
        </w:rPr>
        <w:t xml:space="preserve">[15,36,37]</w:t>
      </w:r>
    </w:p>
    <w:p w:rsidR="00000000" w:rsidDel="00000000" w:rsidP="00000000" w:rsidRDefault="00000000" w:rsidRPr="00000000" w14:paraId="00000103">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To access these data, you can download these resources in shapefile, csv, and xlsx file formats from NETL's Energy Data eXchange (EDX) here: </w:t>
      </w:r>
    </w:p>
    <w:p w:rsidR="00000000" w:rsidDel="00000000" w:rsidP="00000000" w:rsidRDefault="00000000" w:rsidRPr="00000000" w14:paraId="00000104">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Original Source: </w:t>
      </w:r>
      <w:hyperlink r:id="rId17">
        <w:r w:rsidDel="00000000" w:rsidR="00000000" w:rsidRPr="00000000">
          <w:rPr>
            <w:rFonts w:ascii="Inter" w:cs="Inter" w:eastAsia="Inter" w:hAnsi="Inter"/>
            <w:color w:val="0563c1"/>
            <w:sz w:val="16"/>
            <w:szCs w:val="16"/>
            <w:u w:val="single"/>
            <w:rtl w:val="0"/>
          </w:rPr>
          <w:t xml:space="preserve">https://edx.netl.doe.gov/dataset/ira-energy-community-data-layers</w:t>
        </w:r>
      </w:hyperlink>
      <w:r w:rsidDel="00000000" w:rsidR="00000000" w:rsidRPr="00000000">
        <w:rPr>
          <w:rtl w:val="0"/>
        </w:rPr>
      </w:r>
    </w:p>
    <w:p w:rsidR="00000000" w:rsidDel="00000000" w:rsidP="00000000" w:rsidRDefault="00000000" w:rsidRPr="00000000" w14:paraId="00000105">
      <w:pPr>
        <w:spacing w:after="12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Mirror Source: </w:t>
      </w:r>
      <w:hyperlink r:id="rId18">
        <w:r w:rsidDel="00000000" w:rsidR="00000000" w:rsidRPr="00000000">
          <w:rPr>
            <w:rFonts w:ascii="Inter" w:cs="Inter" w:eastAsia="Inter" w:hAnsi="Inter"/>
            <w:color w:val="1155cc"/>
            <w:sz w:val="16"/>
            <w:szCs w:val="16"/>
            <w:u w:val="single"/>
            <w:rtl w:val="0"/>
          </w:rPr>
          <w:t xml:space="preserve">https://zenodo.org/records/14757122</w:t>
        </w:r>
      </w:hyperlink>
      <w:r w:rsidDel="00000000" w:rsidR="00000000" w:rsidRPr="00000000">
        <w:rPr>
          <w:rFonts w:ascii="Inter" w:cs="Inter" w:eastAsia="Inter" w:hAnsi="Inter"/>
          <w:sz w:val="16"/>
          <w:szCs w:val="16"/>
          <w:rtl w:val="0"/>
        </w:rPr>
        <w:tab/>
      </w:r>
    </w:p>
    <w:p w:rsidR="00000000" w:rsidDel="00000000" w:rsidP="00000000" w:rsidRDefault="00000000" w:rsidRPr="00000000" w14:paraId="00000106">
      <w:pPr>
        <w:spacing w:after="120" w:lineRule="auto"/>
        <w:rPr>
          <w:rFonts w:ascii="Inter" w:cs="Inter" w:eastAsia="Inter" w:hAnsi="Inter"/>
          <w:sz w:val="16"/>
          <w:szCs w:val="16"/>
        </w:rPr>
      </w:pPr>
      <w:hyperlink r:id="rId19">
        <w:r w:rsidDel="00000000" w:rsidR="00000000" w:rsidRPr="00000000">
          <w:rPr>
            <w:rFonts w:ascii="Inter" w:cs="Inter" w:eastAsia="Inter" w:hAnsi="Inter"/>
            <w:color w:val="1155cc"/>
            <w:sz w:val="16"/>
            <w:szCs w:val="16"/>
            <w:u w:val="single"/>
            <w:rtl w:val="0"/>
          </w:rPr>
          <w:t xml:space="preserve">Downloaded Dataset</w:t>
        </w:r>
      </w:hyperlink>
      <w:r w:rsidDel="00000000" w:rsidR="00000000" w:rsidRPr="00000000">
        <w:rPr>
          <w:rtl w:val="0"/>
        </w:rPr>
      </w:r>
    </w:p>
    <w:p w:rsidR="00000000" w:rsidDel="00000000" w:rsidP="00000000" w:rsidRDefault="00000000" w:rsidRPr="00000000" w14:paraId="00000107">
      <w:pPr>
        <w:spacing w:after="120" w:lineRule="auto"/>
        <w:rPr>
          <w:rFonts w:ascii="Inter" w:cs="Inter" w:eastAsia="Inter" w:hAnsi="Inter"/>
          <w:color w:val="0563c1"/>
          <w:sz w:val="16"/>
          <w:szCs w:val="16"/>
          <w:vertAlign w:val="superscript"/>
        </w:rPr>
      </w:pPr>
      <w:r w:rsidDel="00000000" w:rsidR="00000000" w:rsidRPr="00000000">
        <w:rPr>
          <w:rFonts w:ascii="Inter" w:cs="Inter" w:eastAsia="Inter" w:hAnsi="Inter"/>
          <w:b w:val="1"/>
          <w:bCs w:val="1"/>
          <w:sz w:val="16"/>
          <w:szCs w:val="16"/>
          <w:rtl w:val="0"/>
        </w:rPr>
        <w:t xml:space="preserve">Brownfield category — no single shapefile:</w:t>
      </w:r>
      <w:r w:rsidDel="00000000" w:rsidR="00000000" w:rsidRPr="00000000">
        <w:rPr>
          <w:rFonts w:ascii="Inter" w:cs="Inter" w:eastAsia="Inter" w:hAnsi="Inter"/>
          <w:sz w:val="16"/>
          <w:szCs w:val="16"/>
          <w:rtl w:val="0"/>
        </w:rPr>
        <w:t xml:space="preserve"> The third category (brownfield sites under CERCLA) is not consolidated into a single national shapefile because brownfield status is determined site-by-site. Useful proxies are the EPA Cleanups in My Community (CIMC) Brownfield Properties geodatabase at epa.gov/cleanups/cimc-web-map-service-and-more, which provides a downloadable zipped geodatabase of EPA-tracked brownfield sites, and EPA’s EnviroAtlas brownfield layers. For the Tribal-nuclear use case, the most relevant brownfield overlay is the universe of abandoned uranium mines, which is published separately by the EPA Region 9 Navajo AUM dataset (epa.gov/navajo-nation-uranium-cleanup) and by the U.S. Geological Survey’s Defense-Related Uranium Mines (DRUM) inventory.</w:t>
      </w:r>
      <w:r w:rsidDel="00000000" w:rsidR="00000000" w:rsidRPr="00000000">
        <w:rPr>
          <w:rFonts w:ascii="Inter" w:cs="Inter" w:eastAsia="Inter" w:hAnsi="Inter"/>
          <w:color w:val="0563c1"/>
          <w:sz w:val="16"/>
          <w:szCs w:val="16"/>
          <w:vertAlign w:val="superscript"/>
          <w:rtl w:val="0"/>
        </w:rPr>
        <w:t xml:space="preserve">[38,39]</w:t>
      </w:r>
    </w:p>
    <w:p w:rsidR="00000000" w:rsidDel="00000000" w:rsidP="00000000" w:rsidRDefault="00000000" w:rsidRPr="00000000" w14:paraId="00000108">
      <w:pPr>
        <w:spacing w:after="120" w:lineRule="auto"/>
        <w:ind w:left="720" w:firstLine="0"/>
        <w:rPr>
          <w:rFonts w:ascii="Inter" w:cs="Inter" w:eastAsia="Inter" w:hAnsi="Inter"/>
          <w:b w:val="1"/>
          <w:bCs w:val="1"/>
          <w:sz w:val="16"/>
          <w:szCs w:val="16"/>
        </w:rPr>
      </w:pPr>
      <w:r w:rsidDel="00000000" w:rsidR="00000000" w:rsidRPr="00000000">
        <w:rPr>
          <w:rFonts w:ascii="Inter" w:cs="Inter" w:eastAsia="Inter" w:hAnsi="Inter"/>
          <w:b w:val="1"/>
          <w:bCs w:val="1"/>
          <w:sz w:val="16"/>
          <w:szCs w:val="16"/>
          <w:rtl w:val="0"/>
        </w:rPr>
        <w:t xml:space="preserve">How to Visualize both maps:</w:t>
      </w:r>
    </w:p>
    <w:p w:rsidR="00000000" w:rsidDel="00000000" w:rsidP="00000000" w:rsidRDefault="00000000" w:rsidRPr="00000000" w14:paraId="00000109">
      <w:pPr>
        <w:spacing w:after="120" w:lineRule="auto"/>
        <w:ind w:left="720" w:firstLine="0"/>
        <w:rPr>
          <w:rFonts w:ascii="Inter" w:cs="Inter" w:eastAsia="Inter" w:hAnsi="Inter"/>
          <w:b w:val="1"/>
          <w:bCs w:val="1"/>
          <w:sz w:val="16"/>
          <w:szCs w:val="16"/>
        </w:rPr>
      </w:pPr>
      <w:r w:rsidDel="00000000" w:rsidR="00000000" w:rsidRPr="00000000">
        <w:rPr>
          <w:rFonts w:ascii="Inter" w:cs="Inter" w:eastAsia="Inter" w:hAnsi="Inter"/>
          <w:b w:val="1"/>
          <w:bCs w:val="1"/>
          <w:sz w:val="16"/>
          <w:szCs w:val="16"/>
          <w:rtl w:val="0"/>
        </w:rPr>
        <w:t xml:space="preserve">Dataset 1: EPA CIMC Brownfield Properties (geodatabase)</w:t>
      </w:r>
    </w:p>
    <w:p w:rsidR="00000000" w:rsidDel="00000000" w:rsidP="00000000" w:rsidRDefault="00000000" w:rsidRPr="00000000" w14:paraId="0000010A">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This is the broadest brownfield dataset — ~36,000 EPA-tracked brownfield sites nationally.</w:t>
      </w:r>
    </w:p>
    <w:p w:rsidR="00000000" w:rsidDel="00000000" w:rsidP="00000000" w:rsidRDefault="00000000" w:rsidRPr="00000000" w14:paraId="0000010B">
      <w:pPr>
        <w:spacing w:after="120" w:lineRule="auto"/>
        <w:ind w:left="720" w:firstLine="0"/>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Download:</w:t>
      </w:r>
      <w:r w:rsidDel="00000000" w:rsidR="00000000" w:rsidRPr="00000000">
        <w:rPr>
          <w:rtl w:val="0"/>
        </w:rPr>
      </w:r>
    </w:p>
    <w:p w:rsidR="00000000" w:rsidDel="00000000" w:rsidP="00000000" w:rsidRDefault="00000000" w:rsidRPr="00000000" w14:paraId="0000010C">
      <w:pPr>
        <w:numPr>
          <w:ilvl w:val="0"/>
          <w:numId w:val="5"/>
        </w:numPr>
        <w:spacing w:after="120" w:lineRule="auto"/>
        <w:ind w:left="1440" w:hanging="360"/>
        <w:rPr>
          <w:rFonts w:ascii="Inter" w:cs="Inter" w:eastAsia="Inter" w:hAnsi="Inter"/>
          <w:sz w:val="16"/>
          <w:szCs w:val="16"/>
        </w:rPr>
      </w:pPr>
      <w:r w:rsidDel="00000000" w:rsidR="00000000" w:rsidRPr="00000000">
        <w:rPr>
          <w:rFonts w:ascii="Inter" w:cs="Inter" w:eastAsia="Inter" w:hAnsi="Inter"/>
          <w:sz w:val="16"/>
          <w:szCs w:val="16"/>
          <w:rtl w:val="0"/>
        </w:rPr>
        <w:t xml:space="preserve">Go to </w:t>
      </w:r>
      <w:hyperlink r:id="rId20">
        <w:r w:rsidDel="00000000" w:rsidR="00000000" w:rsidRPr="00000000">
          <w:rPr>
            <w:rFonts w:ascii="Inter" w:cs="Inter" w:eastAsia="Inter" w:hAnsi="Inter"/>
            <w:color w:val="0563c1"/>
            <w:sz w:val="16"/>
            <w:szCs w:val="16"/>
            <w:u w:val="single"/>
            <w:rtl w:val="0"/>
          </w:rPr>
          <w:t xml:space="preserve">https://www.epa.gov/cleanups/cimc-web-map-service-and-more</w:t>
        </w:r>
      </w:hyperlink>
      <w:r w:rsidDel="00000000" w:rsidR="00000000" w:rsidRPr="00000000">
        <w:rPr>
          <w:rtl w:val="0"/>
        </w:rPr>
      </w:r>
    </w:p>
    <w:p w:rsidR="00000000" w:rsidDel="00000000" w:rsidP="00000000" w:rsidRDefault="00000000" w:rsidRPr="00000000" w14:paraId="0000010D">
      <w:pPr>
        <w:numPr>
          <w:ilvl w:val="0"/>
          <w:numId w:val="5"/>
        </w:numPr>
        <w:spacing w:after="120" w:lineRule="auto"/>
        <w:ind w:left="1440" w:hanging="360"/>
        <w:rPr>
          <w:rFonts w:ascii="Inter" w:cs="Inter" w:eastAsia="Inter" w:hAnsi="Inter"/>
          <w:sz w:val="16"/>
          <w:szCs w:val="16"/>
        </w:rPr>
      </w:pPr>
      <w:r w:rsidDel="00000000" w:rsidR="00000000" w:rsidRPr="00000000">
        <w:rPr>
          <w:rFonts w:ascii="Inter" w:cs="Inter" w:eastAsia="Inter" w:hAnsi="Inter"/>
          <w:sz w:val="16"/>
          <w:szCs w:val="16"/>
          <w:rtl w:val="0"/>
        </w:rPr>
        <w:t xml:space="preserve">Scroll to </w:t>
      </w:r>
      <w:r w:rsidDel="00000000" w:rsidR="00000000" w:rsidRPr="00000000">
        <w:rPr>
          <w:rFonts w:ascii="Inter" w:cs="Inter" w:eastAsia="Inter" w:hAnsi="Inter"/>
          <w:b w:val="1"/>
          <w:bCs w:val="1"/>
          <w:sz w:val="16"/>
          <w:szCs w:val="16"/>
          <w:rtl w:val="0"/>
        </w:rPr>
        <w:t xml:space="preserve">"Brownfields Properties in CIMC (zip)"</w:t>
      </w:r>
      <w:r w:rsidDel="00000000" w:rsidR="00000000" w:rsidRPr="00000000">
        <w:rPr>
          <w:rFonts w:ascii="Inter" w:cs="Inter" w:eastAsia="Inter" w:hAnsi="Inter"/>
          <w:sz w:val="16"/>
          <w:szCs w:val="16"/>
          <w:rtl w:val="0"/>
        </w:rPr>
        <w:t xml:space="preserve"> and download. It's a .zip containing a .gdb folder (file geodatabase, Esri format).</w:t>
      </w:r>
    </w:p>
    <w:p w:rsidR="00000000" w:rsidDel="00000000" w:rsidP="00000000" w:rsidRDefault="00000000" w:rsidRPr="00000000" w14:paraId="0000010E">
      <w:pPr>
        <w:spacing w:after="120" w:lineRule="auto"/>
        <w:ind w:left="720" w:firstLine="0"/>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Open it — three options:</w:t>
      </w:r>
      <w:r w:rsidDel="00000000" w:rsidR="00000000" w:rsidRPr="00000000">
        <w:rPr>
          <w:rtl w:val="0"/>
        </w:rPr>
      </w:r>
    </w:p>
    <w:p w:rsidR="00000000" w:rsidDel="00000000" w:rsidP="00000000" w:rsidRDefault="00000000" w:rsidRPr="00000000" w14:paraId="0000010F">
      <w:pPr>
        <w:numPr>
          <w:ilvl w:val="0"/>
          <w:numId w:val="6"/>
        </w:numPr>
        <w:spacing w:after="120" w:lineRule="auto"/>
        <w:ind w:left="1440" w:hanging="360"/>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QGIS (free, recommended).</w:t>
      </w:r>
      <w:r w:rsidDel="00000000" w:rsidR="00000000" w:rsidRPr="00000000">
        <w:rPr>
          <w:rFonts w:ascii="Inter" w:cs="Inter" w:eastAsia="Inter" w:hAnsi="Inter"/>
          <w:sz w:val="16"/>
          <w:szCs w:val="16"/>
          <w:rtl w:val="0"/>
        </w:rPr>
        <w:t xml:space="preserve"> Install from qgis.org. In QGIS: Layer → Add Layer → Add Vector Layer → browse to the .gdb folder (select the folder itself, not a file inside it). QGIS will read it natively.</w:t>
      </w:r>
    </w:p>
    <w:p w:rsidR="00000000" w:rsidDel="00000000" w:rsidP="00000000" w:rsidRDefault="00000000" w:rsidRPr="00000000" w14:paraId="00000110">
      <w:pPr>
        <w:numPr>
          <w:ilvl w:val="0"/>
          <w:numId w:val="6"/>
        </w:numPr>
        <w:spacing w:after="120" w:lineRule="auto"/>
        <w:ind w:left="1440" w:hanging="360"/>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ArcGIS Online or Pro.</w:t>
      </w:r>
      <w:r w:rsidDel="00000000" w:rsidR="00000000" w:rsidRPr="00000000">
        <w:rPr>
          <w:rFonts w:ascii="Inter" w:cs="Inter" w:eastAsia="Inter" w:hAnsi="Inter"/>
          <w:sz w:val="16"/>
          <w:szCs w:val="16"/>
          <w:rtl w:val="0"/>
        </w:rPr>
        <w:t xml:space="preserve"> Native format — just drag and drop.</w:t>
      </w:r>
    </w:p>
    <w:p w:rsidR="00000000" w:rsidDel="00000000" w:rsidP="00000000" w:rsidRDefault="00000000" w:rsidRPr="00000000" w14:paraId="00000111">
      <w:pPr>
        <w:numPr>
          <w:ilvl w:val="0"/>
          <w:numId w:val="6"/>
        </w:numPr>
        <w:spacing w:after="120" w:lineRule="auto"/>
        <w:ind w:left="1440" w:hanging="360"/>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Convert to shapefile first using ogr2ogr</w:t>
      </w:r>
      <w:r w:rsidDel="00000000" w:rsidR="00000000" w:rsidRPr="00000000">
        <w:rPr>
          <w:rFonts w:ascii="Inter" w:cs="Inter" w:eastAsia="Inter" w:hAnsi="Inter"/>
          <w:sz w:val="16"/>
          <w:szCs w:val="16"/>
          <w:rtl w:val="0"/>
        </w:rPr>
        <w:t xml:space="preserve"> (command line, if you're comfortable). Then load the resulting .shp into mapshaper. Command: ogr2ogr -f "ESRI Shapefile" output_folder input.gdb — this dumps each layer in the GDB as a separate shapefile.</w:t>
      </w:r>
    </w:p>
    <w:p w:rsidR="00000000" w:rsidDel="00000000" w:rsidP="00000000" w:rsidRDefault="00000000" w:rsidRPr="00000000" w14:paraId="00000112">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Brownfield sites are </w:t>
      </w:r>
      <w:r w:rsidDel="00000000" w:rsidR="00000000" w:rsidRPr="00000000">
        <w:rPr>
          <w:rFonts w:ascii="Inter" w:cs="Inter" w:eastAsia="Inter" w:hAnsi="Inter"/>
          <w:b w:val="1"/>
          <w:bCs w:val="1"/>
          <w:sz w:val="16"/>
          <w:szCs w:val="16"/>
          <w:rtl w:val="0"/>
        </w:rPr>
        <w:t xml:space="preserve">points</w:t>
      </w:r>
      <w:r w:rsidDel="00000000" w:rsidR="00000000" w:rsidRPr="00000000">
        <w:rPr>
          <w:rFonts w:ascii="Inter" w:cs="Inter" w:eastAsia="Inter" w:hAnsi="Inter"/>
          <w:sz w:val="16"/>
          <w:szCs w:val="16"/>
          <w:rtl w:val="0"/>
        </w:rPr>
        <w:t xml:space="preserve">, not polygons (each site is one location with attributes like name, address, status, contaminants), so the visualization is dots-on-a-map, not shaded areas.</w:t>
      </w:r>
    </w:p>
    <w:p w:rsidR="00000000" w:rsidDel="00000000" w:rsidP="00000000" w:rsidRDefault="00000000" w:rsidRPr="00000000" w14:paraId="00000113">
      <w:pPr>
        <w:spacing w:after="120" w:lineRule="auto"/>
        <w:ind w:left="720" w:firstLine="0"/>
        <w:rPr>
          <w:rFonts w:ascii="Inter" w:cs="Inter" w:eastAsia="Inter" w:hAnsi="Inter"/>
          <w:b w:val="1"/>
          <w:bCs w:val="1"/>
          <w:sz w:val="16"/>
          <w:szCs w:val="16"/>
        </w:rPr>
      </w:pPr>
      <w:r w:rsidDel="00000000" w:rsidR="00000000" w:rsidRPr="00000000">
        <w:rPr>
          <w:rFonts w:ascii="Inter" w:cs="Inter" w:eastAsia="Inter" w:hAnsi="Inter"/>
          <w:b w:val="1"/>
          <w:bCs w:val="1"/>
          <w:sz w:val="16"/>
          <w:szCs w:val="16"/>
          <w:rtl w:val="0"/>
        </w:rPr>
        <w:t xml:space="preserve">Dataset 2: EPA Region 9 Navajo Abandoned Uranium Mines (AUMs)</w:t>
      </w:r>
    </w:p>
    <w:p w:rsidR="00000000" w:rsidDel="00000000" w:rsidP="00000000" w:rsidRDefault="00000000" w:rsidRPr="00000000" w14:paraId="00000114">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This is the most relevant for the tribal-nuclear use case in your document — ~523 mines on or near Navajo land.</w:t>
      </w:r>
    </w:p>
    <w:p w:rsidR="00000000" w:rsidDel="00000000" w:rsidP="00000000" w:rsidRDefault="00000000" w:rsidRPr="00000000" w14:paraId="00000115">
      <w:pPr>
        <w:spacing w:after="120" w:lineRule="auto"/>
        <w:ind w:left="720" w:firstLine="0"/>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Where to find the spatial data:</w:t>
      </w:r>
      <w:r w:rsidDel="00000000" w:rsidR="00000000" w:rsidRPr="00000000">
        <w:rPr>
          <w:rtl w:val="0"/>
        </w:rPr>
      </w:r>
    </w:p>
    <w:p w:rsidR="00000000" w:rsidDel="00000000" w:rsidP="00000000" w:rsidRDefault="00000000" w:rsidRPr="00000000" w14:paraId="00000116">
      <w:pPr>
        <w:spacing w:after="120" w:lineRule="auto"/>
        <w:ind w:left="720" w:firstLine="0"/>
        <w:rPr>
          <w:rFonts w:ascii="Inter" w:cs="Inter" w:eastAsia="Inter" w:hAnsi="Inter"/>
          <w:sz w:val="16"/>
          <w:szCs w:val="16"/>
        </w:rPr>
      </w:pPr>
      <w:r w:rsidDel="00000000" w:rsidR="00000000" w:rsidRPr="00000000">
        <w:rPr>
          <w:rFonts w:ascii="Inter" w:cs="Inter" w:eastAsia="Inter" w:hAnsi="Inter"/>
          <w:sz w:val="16"/>
          <w:szCs w:val="16"/>
          <w:rtl w:val="0"/>
        </w:rPr>
        <w:t xml:space="preserve">https://geopub.epa.gov/NavajoNationAUM/</w:t>
        <w:tab/>
      </w:r>
    </w:p>
    <w:p w:rsidR="00000000" w:rsidDel="00000000" w:rsidP="00000000" w:rsidRDefault="00000000" w:rsidRPr="00000000" w14:paraId="00000117">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Cross-referencing for combined Tribal + Energy Community eligibility:</w:t>
      </w:r>
      <w:r w:rsidDel="00000000" w:rsidR="00000000" w:rsidRPr="00000000">
        <w:rPr>
          <w:rFonts w:ascii="Inter" w:cs="Inter" w:eastAsia="Inter" w:hAnsi="Inter"/>
          <w:sz w:val="16"/>
          <w:szCs w:val="16"/>
          <w:rtl w:val="0"/>
        </w:rPr>
        <w:t xml:space="preserve"> Overlaying the BIA AIAN-LAR layer with the NETL Energy Community layers identifies Tribal lands that automatically qualify for the +10pp Energy Community adder. Section 4.4 of this document notes the structural overlap with historical uranium mining geography on Navajo, Laguna, Zuni, Hualapai, Tohono O’odham, Spokane, and Ute lands. Climate Cabinet Education also publishes a consolidated public-facing tax-credit bonus map at climatecabineteducation.org/tax-credit-bonuses-map/ that combines these layers and is useful as a sanity check on internal map work, though the underlying NETL and BIA primary sources should be used for any analysis intended for client or financing-package use.</w:t>
      </w:r>
      <w:r w:rsidDel="00000000" w:rsidR="00000000" w:rsidRPr="00000000">
        <w:rPr>
          <w:rFonts w:ascii="Inter" w:cs="Inter" w:eastAsia="Inter" w:hAnsi="Inter"/>
          <w:color w:val="0563c1"/>
          <w:sz w:val="16"/>
          <w:szCs w:val="16"/>
          <w:vertAlign w:val="superscript"/>
          <w:rtl w:val="0"/>
        </w:rPr>
        <w:t xml:space="preserve">[40]</w:t>
      </w:r>
      <w:r w:rsidDel="00000000" w:rsidR="00000000" w:rsidRPr="00000000">
        <w:rPr>
          <w:rtl w:val="0"/>
        </w:rPr>
      </w:r>
    </w:p>
    <w:p w:rsidR="00000000" w:rsidDel="00000000" w:rsidP="00000000" w:rsidRDefault="00000000" w:rsidRPr="00000000" w14:paraId="00000118">
      <w:pPr>
        <w:spacing w:after="120" w:lineRule="auto"/>
        <w:rPr>
          <w:rFonts w:ascii="Inter" w:cs="Inter" w:eastAsia="Inter" w:hAnsi="Inter"/>
          <w:sz w:val="16"/>
          <w:szCs w:val="16"/>
        </w:rPr>
      </w:pPr>
      <w:r w:rsidDel="00000000" w:rsidR="00000000" w:rsidRPr="00000000">
        <w:rPr>
          <w:rFonts w:ascii="Inter" w:cs="Inter" w:eastAsia="Inter" w:hAnsi="Inter"/>
          <w:b w:val="1"/>
          <w:bCs w:val="1"/>
          <w:sz w:val="16"/>
          <w:szCs w:val="16"/>
          <w:rtl w:val="0"/>
        </w:rPr>
        <w:t xml:space="preserve">Important disclaimer carried by NETL:</w:t>
      </w:r>
      <w:r w:rsidDel="00000000" w:rsidR="00000000" w:rsidRPr="00000000">
        <w:rPr>
          <w:rFonts w:ascii="Inter" w:cs="Inter" w:eastAsia="Inter" w:hAnsi="Inter"/>
          <w:sz w:val="16"/>
          <w:szCs w:val="16"/>
          <w:rtl w:val="0"/>
        </w:rPr>
        <w:t xml:space="preserve"> the mapping tool and shapefiles cannot be relied upon to substantiate a tax return position and will not be used by the IRS for examination purposes. Final eligibility is governed by the underlying IRS Notices (2023-29, subsequent updates) and the project’s placed-in-service-date treatment. For financing diligence, the shapefiles are a strong starting screen but should be paired with an attestation-level analysis at the project site.</w:t>
      </w:r>
      <w:r w:rsidDel="00000000" w:rsidR="00000000" w:rsidRPr="00000000">
        <w:rPr>
          <w:rFonts w:ascii="Inter" w:cs="Inter" w:eastAsia="Inter" w:hAnsi="Inter"/>
          <w:color w:val="0563c1"/>
          <w:sz w:val="16"/>
          <w:szCs w:val="16"/>
          <w:vertAlign w:val="superscript"/>
          <w:rtl w:val="0"/>
        </w:rPr>
        <w:t xml:space="preserve">[4,15,18,36]</w:t>
      </w:r>
      <w:r w:rsidDel="00000000" w:rsidR="00000000" w:rsidRPr="00000000">
        <w:rPr>
          <w:rtl w:val="0"/>
        </w:rPr>
      </w:r>
    </w:p>
    <w:p w:rsidR="00000000" w:rsidDel="00000000" w:rsidP="00000000" w:rsidRDefault="00000000" w:rsidRPr="00000000" w14:paraId="00000119">
      <w:pPr>
        <w:rPr>
          <w:rFonts w:ascii="Inter" w:cs="Inter" w:eastAsia="Inter" w:hAnsi="Int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rFonts w:ascii="Inter" w:cs="Inter" w:eastAsia="Inter" w:hAnsi="Inter"/>
          <w:sz w:val="20"/>
          <w:szCs w:val="20"/>
        </w:rPr>
      </w:pPr>
      <w:r w:rsidDel="00000000" w:rsidR="00000000" w:rsidRPr="00000000">
        <w:rPr>
          <w:rFonts w:ascii="Inter" w:cs="Inter" w:eastAsia="Inter" w:hAnsi="Inter"/>
          <w:sz w:val="20"/>
          <w:szCs w:val="20"/>
          <w:rtl w:val="0"/>
        </w:rPr>
        <w:t xml:space="preserve">6. Sources</w:t>
      </w:r>
    </w:p>
    <w:p w:rsidR="00000000" w:rsidDel="00000000" w:rsidP="00000000" w:rsidRDefault="00000000" w:rsidRPr="00000000" w14:paraId="0000011B">
      <w:pPr>
        <w:spacing w:after="120" w:lineRule="auto"/>
        <w:rPr>
          <w:rFonts w:ascii="Inter" w:cs="Inter" w:eastAsia="Inter" w:hAnsi="Inter"/>
          <w:sz w:val="14"/>
          <w:szCs w:val="14"/>
        </w:rPr>
      </w:pPr>
      <w:r w:rsidDel="00000000" w:rsidR="00000000" w:rsidRPr="00000000">
        <w:rPr>
          <w:rFonts w:ascii="Inter" w:cs="Inter" w:eastAsia="Inter" w:hAnsi="Inter"/>
          <w:sz w:val="14"/>
          <w:szCs w:val="14"/>
          <w:rtl w:val="0"/>
        </w:rPr>
        <w:t xml:space="preserve">All factual claims above are based on the following primary and secondary sources:</w:t>
      </w:r>
    </w:p>
    <w:p w:rsidR="00000000" w:rsidDel="00000000" w:rsidP="00000000" w:rsidRDefault="00000000" w:rsidRPr="00000000" w14:paraId="0000011C">
      <w:pPr>
        <w:pStyle w:val="Heading3"/>
        <w:rPr>
          <w:rFonts w:ascii="Inter" w:cs="Inter" w:eastAsia="Inter" w:hAnsi="Inter"/>
          <w:sz w:val="14"/>
          <w:szCs w:val="14"/>
        </w:rPr>
      </w:pPr>
      <w:r w:rsidDel="00000000" w:rsidR="00000000" w:rsidRPr="00000000">
        <w:rPr>
          <w:rFonts w:ascii="Inter" w:cs="Inter" w:eastAsia="Inter" w:hAnsi="Inter"/>
          <w:sz w:val="14"/>
          <w:szCs w:val="14"/>
          <w:rtl w:val="0"/>
        </w:rPr>
        <w:t xml:space="preserve">6.1 Primary Government Sources</w:t>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 U.S. Treasury, Press Release JY1830 (Oct 2023) – Tax Incentives Fact Sheet: </w:t>
      </w:r>
      <w:hyperlink r:id="rId21">
        <w:r w:rsidDel="00000000" w:rsidR="00000000" w:rsidRPr="00000000">
          <w:rPr>
            <w:rFonts w:ascii="Inter" w:cs="Inter" w:eastAsia="Inter" w:hAnsi="Inter"/>
            <w:color w:val="0563c1"/>
            <w:sz w:val="14"/>
            <w:szCs w:val="14"/>
            <w:u w:val="single"/>
            <w:rtl w:val="0"/>
          </w:rPr>
          <w:t xml:space="preserve">home.treasury.gov/news/press-releases/jy1830</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[2] U.S. Treasury, Press Release JY2775 (Jan 2025) – §48E(h) Final Rules: </w:t>
      </w:r>
      <w:hyperlink r:id="rId22">
        <w:r w:rsidDel="00000000" w:rsidR="00000000" w:rsidRPr="00000000">
          <w:rPr>
            <w:rFonts w:ascii="Inter" w:cs="Inter" w:eastAsia="Inter" w:hAnsi="Inter"/>
            <w:color w:val="0563c1"/>
            <w:sz w:val="14"/>
            <w:szCs w:val="14"/>
            <w:u w:val="single"/>
            <w:rtl w:val="0"/>
          </w:rPr>
          <w:t xml:space="preserve">home.treasury.gov/news/press-releases/jy2775</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[3] IRS – Clean Electricity Low-Income Communities Bonus Credit Program (§48E(h)): </w:t>
      </w:r>
      <w:hyperlink r:id="rId23">
        <w:r w:rsidDel="00000000" w:rsidR="00000000" w:rsidRPr="00000000">
          <w:rPr>
            <w:rFonts w:ascii="Inter" w:cs="Inter" w:eastAsia="Inter" w:hAnsi="Inter"/>
            <w:color w:val="0563c1"/>
            <w:sz w:val="14"/>
            <w:szCs w:val="14"/>
            <w:u w:val="single"/>
            <w:rtl w:val="0"/>
          </w:rPr>
          <w:t xml:space="preserve">irs.gov/credits-deductions/clean-electricity-low-income-communities-bonus-credit-amount-program</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 IRS – FAQs on Energy Communities: </w:t>
      </w:r>
      <w:hyperlink r:id="rId24">
        <w:r w:rsidDel="00000000" w:rsidR="00000000" w:rsidRPr="00000000">
          <w:rPr>
            <w:rFonts w:ascii="Inter" w:cs="Inter" w:eastAsia="Inter" w:hAnsi="Inter"/>
            <w:color w:val="0563c1"/>
            <w:sz w:val="14"/>
            <w:szCs w:val="14"/>
            <w:u w:val="single"/>
            <w:rtl w:val="0"/>
          </w:rPr>
          <w:t xml:space="preserve">irs.gov/credits-deductions/frequently-asked-questions-for-energy-communities</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 IRS – Credits and Deductions Under the IRA: </w:t>
      </w:r>
      <w:hyperlink r:id="rId25">
        <w:r w:rsidDel="00000000" w:rsidR="00000000" w:rsidRPr="00000000">
          <w:rPr>
            <w:rFonts w:ascii="Inter" w:cs="Inter" w:eastAsia="Inter" w:hAnsi="Inter"/>
            <w:color w:val="0563c1"/>
            <w:sz w:val="14"/>
            <w:szCs w:val="14"/>
            <w:u w:val="single"/>
            <w:rtl w:val="0"/>
          </w:rPr>
          <w:t xml:space="preserve">irs.gov/credits-and-deductions-under-the-inflation-reduction-act-of-2022</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[6] IRS Rev. Proc. 2025-11 – §48E(h) Application Process: </w:t>
      </w:r>
      <w:hyperlink r:id="rId26">
        <w:r w:rsidDel="00000000" w:rsidR="00000000" w:rsidRPr="00000000">
          <w:rPr>
            <w:rFonts w:ascii="Inter" w:cs="Inter" w:eastAsia="Inter" w:hAnsi="Inter"/>
            <w:color w:val="0563c1"/>
            <w:sz w:val="14"/>
            <w:szCs w:val="14"/>
            <w:u w:val="single"/>
            <w:rtl w:val="0"/>
          </w:rPr>
          <w:t xml:space="preserve">irs.gov/pub/irs-drop/rp-25-11.pdf</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[7] Federal Register – Final Rule, §48E(h) Program (Jan 13, 2025): </w:t>
      </w:r>
      <w:hyperlink r:id="rId27">
        <w:r w:rsidDel="00000000" w:rsidR="00000000" w:rsidRPr="00000000">
          <w:rPr>
            <w:rFonts w:ascii="Inter" w:cs="Inter" w:eastAsia="Inter" w:hAnsi="Inter"/>
            <w:color w:val="0563c1"/>
            <w:sz w:val="14"/>
            <w:szCs w:val="14"/>
            <w:u w:val="single"/>
            <w:rtl w:val="0"/>
          </w:rPr>
          <w:t xml:space="preserve">federalregister.gov/documents/2025/01/13/2025-00331</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[8] Treasury – §48E Tribal Consultation Summary (Jan 2025): </w:t>
      </w:r>
      <w:hyperlink r:id="rId28">
        <w:r w:rsidDel="00000000" w:rsidR="00000000" w:rsidRPr="00000000">
          <w:rPr>
            <w:rFonts w:ascii="Inter" w:cs="Inter" w:eastAsia="Inter" w:hAnsi="Inter"/>
            <w:color w:val="0563c1"/>
            <w:sz w:val="14"/>
            <w:szCs w:val="14"/>
            <w:u w:val="single"/>
            <w:rtl w:val="0"/>
          </w:rPr>
          <w:t xml:space="preserve">home.treasury.gov/system/files/136/48E-Tribal-Consultation-Summary-Federal-Response-1-8-25.pdf</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[9] DOE Office of Nuclear Energy – IRA Nuclear Power Article: </w:t>
      </w:r>
      <w:hyperlink r:id="rId29">
        <w:r w:rsidDel="00000000" w:rsidR="00000000" w:rsidRPr="00000000">
          <w:rPr>
            <w:rFonts w:ascii="Inter" w:cs="Inter" w:eastAsia="Inter" w:hAnsi="Inter"/>
            <w:color w:val="0563c1"/>
            <w:sz w:val="14"/>
            <w:szCs w:val="14"/>
            <w:u w:val="single"/>
            <w:rtl w:val="0"/>
          </w:rPr>
          <w:t xml:space="preserve">energy.gov/ne/articles/inflation-reduction-act-keeps-momentum-building-nuclear-power</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[10] DOE Office of Indian Energy – Funding Opportunity 2025 Announcement: </w:t>
      </w:r>
      <w:hyperlink r:id="rId30">
        <w:r w:rsidDel="00000000" w:rsidR="00000000" w:rsidRPr="00000000">
          <w:rPr>
            <w:rFonts w:ascii="Inter" w:cs="Inter" w:eastAsia="Inter" w:hAnsi="Inter"/>
            <w:color w:val="0563c1"/>
            <w:sz w:val="14"/>
            <w:szCs w:val="14"/>
            <w:u w:val="single"/>
            <w:rtl w:val="0"/>
          </w:rPr>
          <w:t xml:space="preserve">energy.gov/indianenergy/articles/us-department-energy-announce-funding-opportunity-energy-technology-0</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[11] DOE Office of Indian Energy – Funding Page: </w:t>
      </w:r>
      <w:hyperlink r:id="rId31">
        <w:r w:rsidDel="00000000" w:rsidR="00000000" w:rsidRPr="00000000">
          <w:rPr>
            <w:rFonts w:ascii="Inter" w:cs="Inter" w:eastAsia="Inter" w:hAnsi="Inter"/>
            <w:color w:val="0563c1"/>
            <w:sz w:val="14"/>
            <w:szCs w:val="14"/>
            <w:u w:val="single"/>
            <w:rtl w:val="0"/>
          </w:rPr>
          <w:t xml:space="preserve">energy.gov/indianenergy/funding</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[12] DOE "Unleashing Tribal Energy Development" $50M NOFO Announcement (March 2026): </w:t>
      </w:r>
      <w:hyperlink r:id="rId32">
        <w:r w:rsidDel="00000000" w:rsidR="00000000" w:rsidRPr="00000000">
          <w:rPr>
            <w:rFonts w:ascii="Inter" w:cs="Inter" w:eastAsia="Inter" w:hAnsi="Inter"/>
            <w:color w:val="0563c1"/>
            <w:sz w:val="14"/>
            <w:szCs w:val="14"/>
            <w:u w:val="single"/>
            <w:rtl w:val="0"/>
          </w:rPr>
          <w:t xml:space="preserve">energy.gov/articles/energy-department-announces-50-million-investment-advance-affordable-reliable-and-secure</w:t>
        </w:r>
      </w:hyperlink>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80" w:lineRule="auto"/>
        <w:ind w:left="720" w:firstLine="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Tribal Business News: </w:t>
      </w:r>
      <w:hyperlink r:id="rId33">
        <w:r w:rsidDel="00000000" w:rsidR="00000000" w:rsidRPr="00000000">
          <w:rPr>
            <w:rFonts w:ascii="Inter" w:cs="Inter" w:eastAsia="Inter" w:hAnsi="Inter"/>
            <w:color w:val="0563c1"/>
            <w:sz w:val="14"/>
            <w:szCs w:val="14"/>
            <w:u w:val="single"/>
            <w:rtl w:val="0"/>
          </w:rPr>
          <w:t xml:space="preserve">https://tribalbusinessnews.com/sections/energy/15548-doe-announces-50m-tribal-energy-funding-opportunity-at-res</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[13] DOE Office of Energy Dominance Financing (EDF): </w:t>
      </w:r>
      <w:hyperlink r:id="rId34">
        <w:r w:rsidDel="00000000" w:rsidR="00000000" w:rsidRPr="00000000">
          <w:rPr>
            <w:rFonts w:ascii="Inter" w:cs="Inter" w:eastAsia="Inter" w:hAnsi="Inter"/>
            <w:color w:val="0563c1"/>
            <w:sz w:val="14"/>
            <w:szCs w:val="14"/>
            <w:u w:val="single"/>
            <w:rtl w:val="0"/>
          </w:rPr>
          <w:t xml:space="preserve">energy.gov/EDF</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[14] DOE TEFP Frequently Asked Questions (80% cap, eligibility): </w:t>
      </w:r>
      <w:hyperlink r:id="rId35">
        <w:r w:rsidDel="00000000" w:rsidR="00000000" w:rsidRPr="00000000">
          <w:rPr>
            <w:rFonts w:ascii="Inter" w:cs="Inter" w:eastAsia="Inter" w:hAnsi="Inter"/>
            <w:color w:val="0563c1"/>
            <w:sz w:val="14"/>
            <w:szCs w:val="14"/>
            <w:u w:val="single"/>
            <w:rtl w:val="0"/>
          </w:rPr>
          <w:t xml:space="preserve">energy.gov/edf/tribal-energy-financing-program-frequently-asked-questions</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[15] DOE/NETL Energy Community Mapping Tool: </w:t>
      </w:r>
      <w:hyperlink r:id="rId36">
        <w:r w:rsidDel="00000000" w:rsidR="00000000" w:rsidRPr="00000000">
          <w:rPr>
            <w:rFonts w:ascii="Inter" w:cs="Inter" w:eastAsia="Inter" w:hAnsi="Inter"/>
            <w:color w:val="0563c1"/>
            <w:sz w:val="14"/>
            <w:szCs w:val="14"/>
            <w:u w:val="single"/>
            <w:rtl w:val="0"/>
          </w:rPr>
          <w:t xml:space="preserve">arcgis.netl.doe.gov/portal/apps/experiencebuilder</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[16] Wilson Center – Nuclear Power is Tribal Power: </w:t>
      </w:r>
      <w:hyperlink r:id="rId37">
        <w:r w:rsidDel="00000000" w:rsidR="00000000" w:rsidRPr="00000000">
          <w:rPr>
            <w:rFonts w:ascii="Inter" w:cs="Inter" w:eastAsia="Inter" w:hAnsi="Inter"/>
            <w:color w:val="0563c1"/>
            <w:sz w:val="14"/>
            <w:szCs w:val="14"/>
            <w:u w:val="single"/>
            <w:rtl w:val="0"/>
          </w:rPr>
          <w:t xml:space="preserve">wilsoncenter.org/article/nuclear-power-tribal-power</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[17] Crux Climate – Transferable Tax Credits Market Pricing: </w:t>
      </w:r>
      <w:hyperlink r:id="rId38">
        <w:r w:rsidDel="00000000" w:rsidR="00000000" w:rsidRPr="00000000">
          <w:rPr>
            <w:rFonts w:ascii="Inter" w:cs="Inter" w:eastAsia="Inter" w:hAnsi="Inter"/>
            <w:color w:val="0563c1"/>
            <w:sz w:val="14"/>
            <w:szCs w:val="14"/>
            <w:u w:val="single"/>
            <w:rtl w:val="0"/>
          </w:rPr>
          <w:t xml:space="preserve">cruxclimate.com/insights/transferable-tax-credits</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[18] Morgan Lewis – Domestic Content Bonus Adder Mechanics (PTC vs ITC): </w:t>
      </w:r>
      <w:hyperlink r:id="rId39">
        <w:r w:rsidDel="00000000" w:rsidR="00000000" w:rsidRPr="00000000">
          <w:rPr>
            <w:rFonts w:ascii="Inter" w:cs="Inter" w:eastAsia="Inter" w:hAnsi="Inter"/>
            <w:color w:val="0563c1"/>
            <w:sz w:val="14"/>
            <w:szCs w:val="14"/>
            <w:u w:val="single"/>
            <w:rtl w:val="0"/>
          </w:rPr>
          <w:t xml:space="preserve">morganlewis.com/pubs/2023/05/irs-releases-highly-anticipated-guidance-on-domestic-content-ira-tax-credit-adder</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[19] Plante Moran – PWA Requirements &amp; &lt;1MW Exemption: </w:t>
      </w:r>
      <w:hyperlink r:id="rId40">
        <w:r w:rsidDel="00000000" w:rsidR="00000000" w:rsidRPr="00000000">
          <w:rPr>
            <w:rFonts w:ascii="Inter" w:cs="Inter" w:eastAsia="Inter" w:hAnsi="Inter"/>
            <w:color w:val="0563c1"/>
            <w:sz w:val="14"/>
            <w:szCs w:val="14"/>
            <w:u w:val="single"/>
            <w:rtl w:val="0"/>
          </w:rPr>
          <w:t xml:space="preserve">plantemoran.com/explore-our-thinking/insight/2025/01/prevailing-wage-requirements-for-bonus-ira-energy-tax-credits</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[20] DOE IE-Exchange Funding Portal: </w:t>
      </w:r>
      <w:hyperlink r:id="rId41">
        <w:r w:rsidDel="00000000" w:rsidR="00000000" w:rsidRPr="00000000">
          <w:rPr>
            <w:rFonts w:ascii="Inter" w:cs="Inter" w:eastAsia="Inter" w:hAnsi="Inter"/>
            <w:color w:val="0563c1"/>
            <w:sz w:val="14"/>
            <w:szCs w:val="14"/>
            <w:u w:val="single"/>
            <w:rtl w:val="0"/>
          </w:rPr>
          <w:t xml:space="preserve">ie-exchange.energy.gov</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[21] DOE Tribal Energy Webinar (Treasury Briefing, Jan 2023): </w:t>
      </w:r>
      <w:hyperlink r:id="rId42">
        <w:r w:rsidDel="00000000" w:rsidR="00000000" w:rsidRPr="00000000">
          <w:rPr>
            <w:rFonts w:ascii="Inter" w:cs="Inter" w:eastAsia="Inter" w:hAnsi="Inter"/>
            <w:color w:val="0563c1"/>
            <w:sz w:val="14"/>
            <w:szCs w:val="14"/>
            <w:u w:val="single"/>
            <w:rtl w:val="0"/>
          </w:rPr>
          <w:t xml:space="preserve">energy.gov/sites/default/files/2023-01/2-us-treasury-ie-ira-jan-2023.pdf</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[22] EPA – Federal Brownfields Programs (Energy Community): </w:t>
      </w:r>
      <w:hyperlink r:id="rId43">
        <w:r w:rsidDel="00000000" w:rsidR="00000000" w:rsidRPr="00000000">
          <w:rPr>
            <w:rFonts w:ascii="Inter" w:cs="Inter" w:eastAsia="Inter" w:hAnsi="Inter"/>
            <w:color w:val="0563c1"/>
            <w:sz w:val="14"/>
            <w:szCs w:val="14"/>
            <w:u w:val="single"/>
            <w:rtl w:val="0"/>
          </w:rPr>
          <w:t xml:space="preserve">epa.gov/brownfields/federal-programs</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[23] Congressional Research Service (R48358) – Domestic Content Requirements: </w:t>
      </w:r>
      <w:hyperlink r:id="rId44">
        <w:r w:rsidDel="00000000" w:rsidR="00000000" w:rsidRPr="00000000">
          <w:rPr>
            <w:rFonts w:ascii="Inter" w:cs="Inter" w:eastAsia="Inter" w:hAnsi="Inter"/>
            <w:color w:val="0563c1"/>
            <w:sz w:val="14"/>
            <w:szCs w:val="14"/>
            <w:u w:val="single"/>
            <w:rtl w:val="0"/>
          </w:rPr>
          <w:t xml:space="preserve">congress.gov/crs-product/R48358</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[24] Congressional Research Service (IF11793) – Indian Energy Programs at DOE: </w:t>
      </w:r>
      <w:hyperlink r:id="rId45">
        <w:r w:rsidDel="00000000" w:rsidR="00000000" w:rsidRPr="00000000">
          <w:rPr>
            <w:rFonts w:ascii="Inter" w:cs="Inter" w:eastAsia="Inter" w:hAnsi="Inter"/>
            <w:color w:val="0563c1"/>
            <w:sz w:val="14"/>
            <w:szCs w:val="14"/>
            <w:u w:val="single"/>
            <w:rtl w:val="0"/>
          </w:rPr>
          <w:t xml:space="preserve">congress.gov/crs-product/IF11793</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[25] GAO-25-108720 – Tribal Energy Finance: DOE Actions Needed: </w:t>
      </w:r>
      <w:hyperlink r:id="rId46">
        <w:r w:rsidDel="00000000" w:rsidR="00000000" w:rsidRPr="00000000">
          <w:rPr>
            <w:rFonts w:ascii="Inter" w:cs="Inter" w:eastAsia="Inter" w:hAnsi="Inter"/>
            <w:color w:val="0563c1"/>
            <w:sz w:val="14"/>
            <w:szCs w:val="14"/>
            <w:u w:val="single"/>
            <w:rtl w:val="0"/>
          </w:rPr>
          <w:t xml:space="preserve">files.gao.gov/reports/GAO-25-108720/index.html</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[26] NRC Tribal Policy Statement, 82 FR 2402 (Jan 9, 2017): </w:t>
      </w:r>
      <w:hyperlink r:id="rId47">
        <w:r w:rsidDel="00000000" w:rsidR="00000000" w:rsidRPr="00000000">
          <w:rPr>
            <w:rFonts w:ascii="Inter" w:cs="Inter" w:eastAsia="Inter" w:hAnsi="Inter"/>
            <w:color w:val="0563c1"/>
            <w:sz w:val="14"/>
            <w:szCs w:val="14"/>
            <w:u w:val="single"/>
            <w:rtl w:val="0"/>
          </w:rPr>
          <w:t xml:space="preserve">https://www.nrc.gov/about-nrc/state-tribal/tps</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[27] NRC – Pursuing an Agreement with the NRC FAQs (tribal lands under exclusive federal jurisdiction): </w:t>
      </w:r>
      <w:hyperlink r:id="rId48">
        <w:r w:rsidDel="00000000" w:rsidR="00000000" w:rsidRPr="00000000">
          <w:rPr>
            <w:rFonts w:ascii="Inter" w:cs="Inter" w:eastAsia="Inter" w:hAnsi="Inter"/>
            <w:color w:val="0563c1"/>
            <w:sz w:val="14"/>
            <w:szCs w:val="14"/>
            <w:u w:val="single"/>
            <w:rtl w:val="0"/>
          </w:rPr>
          <w:t xml:space="preserve">https://www.nrc.gov/about-nrc/state-tribal-programs/agreement-state-program/pursuing-an-agreement-with-the-nrc-faqs</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[28] NRC – Federally Recognized Tribal Lands Within 50 Miles of Nuclear Power Plants: </w:t>
      </w:r>
      <w:hyperlink r:id="rId49">
        <w:r w:rsidDel="00000000" w:rsidR="00000000" w:rsidRPr="00000000">
          <w:rPr>
            <w:rFonts w:ascii="Inter" w:cs="Inter" w:eastAsia="Inter" w:hAnsi="Inter"/>
            <w:color w:val="0563c1"/>
            <w:sz w:val="14"/>
            <w:szCs w:val="14"/>
            <w:u w:val="single"/>
            <w:rtl w:val="0"/>
          </w:rPr>
          <w:t xml:space="preserve">https://www.nrc.gov/about-nrc/state-tribal/tribal-liaison-team/tribal-liaison-map</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[29] NRC Office of Nuclear Material Safety and Safeguards – Procedure SA-500 (Jurisdiction Determinations): </w:t>
      </w:r>
      <w:hyperlink r:id="rId50">
        <w:r w:rsidDel="00000000" w:rsidR="00000000" w:rsidRPr="00000000">
          <w:rPr>
            <w:rFonts w:ascii="Inter" w:cs="Inter" w:eastAsia="Inter" w:hAnsi="Inter"/>
            <w:color w:val="0563c1"/>
            <w:sz w:val="14"/>
            <w:szCs w:val="14"/>
            <w:u w:val="single"/>
            <w:rtl w:val="0"/>
          </w:rPr>
          <w:t xml:space="preserve">https://www.nrc.gov/docs/ML2322/ML23228A191.pdf</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[30] Atomic Energy Act of 1954, as amended (42 U.S.C. § 2011 et seq.) – reactor licensing authority: </w:t>
      </w:r>
      <w:hyperlink r:id="rId51">
        <w:r w:rsidDel="00000000" w:rsidR="00000000" w:rsidRPr="00000000">
          <w:rPr>
            <w:rFonts w:ascii="Inter" w:cs="Inter" w:eastAsia="Inter" w:hAnsi="Inter"/>
            <w:color w:val="0563c1"/>
            <w:sz w:val="14"/>
            <w:szCs w:val="14"/>
            <w:u w:val="single"/>
            <w:rtl w:val="0"/>
          </w:rPr>
          <w:t xml:space="preserve">https://www.law.cornell.edu/uscode/text/42/chapter-23</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[31] Skull Valley Band of Goshute Indians v. Nielson, 376 F.3d 1223 (10th Cir. 2004) – federal preemption of state nuclear regulation on tribal lands: </w:t>
      </w:r>
      <w:hyperlink r:id="rId52">
        <w:r w:rsidDel="00000000" w:rsidR="00000000" w:rsidRPr="00000000">
          <w:rPr>
            <w:rFonts w:ascii="Inter" w:cs="Inter" w:eastAsia="Inter" w:hAnsi="Inter"/>
            <w:color w:val="0563c1"/>
            <w:sz w:val="14"/>
            <w:szCs w:val="14"/>
            <w:u w:val="single"/>
            <w:rtl w:val="0"/>
          </w:rPr>
          <w:t xml:space="preserve">https://law.justia.com/cases/federal/appellate-courts/F3/376/1223/597592/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80" w:lineRule="auto"/>
        <w:ind w:left="720" w:firstLine="0"/>
        <w:rPr>
          <w:rFonts w:ascii="Inter" w:cs="Inter" w:eastAsia="Inter" w:hAnsi="Inter"/>
          <w:sz w:val="14"/>
          <w:szCs w:val="14"/>
        </w:rPr>
      </w:pPr>
      <w:r w:rsidDel="00000000" w:rsidR="00000000" w:rsidRPr="00000000">
        <w:rPr>
          <w:rFonts w:ascii="Inter" w:cs="Inter" w:eastAsia="Inter" w:hAnsi="Inter"/>
          <w:sz w:val="14"/>
          <w:szCs w:val="14"/>
          <w:rtl w:val="0"/>
        </w:rPr>
        <w:t xml:space="preserve"> Diné Citizens Against Ruining Our Environment v. Nuclear Regulatory Commission, 503 F.3d 145 (D.C. Cir. 2007): </w:t>
      </w:r>
      <w:hyperlink r:id="rId53">
        <w:r w:rsidDel="00000000" w:rsidR="00000000" w:rsidRPr="00000000">
          <w:rPr>
            <w:rFonts w:ascii="Inter" w:cs="Inter" w:eastAsia="Inter" w:hAnsi="Inter"/>
            <w:color w:val="0563c1"/>
            <w:sz w:val="14"/>
            <w:szCs w:val="14"/>
            <w:u w:val="single"/>
            <w:rtl w:val="0"/>
          </w:rPr>
          <w:t xml:space="preserve">https://caselaw.findlaw.com/court/us-dc-circuit/1187398.html</w:t>
        </w:r>
      </w:hyperlink>
      <w:r w:rsidDel="00000000" w:rsidR="00000000" w:rsidRPr="00000000">
        <w:rPr>
          <w:rFonts w:ascii="Inter" w:cs="Inter" w:eastAsia="Inter" w:hAnsi="Inter"/>
          <w:sz w:val="14"/>
          <w:szCs w:val="14"/>
          <w:rtl w:val="0"/>
        </w:rPr>
        <w:t xml:space="preserve"> &amp; </w:t>
      </w:r>
      <w:hyperlink r:id="rId54">
        <w:r w:rsidDel="00000000" w:rsidR="00000000" w:rsidRPr="00000000">
          <w:rPr>
            <w:rFonts w:ascii="Inter" w:cs="Inter" w:eastAsia="Inter" w:hAnsi="Inter"/>
            <w:color w:val="0563c1"/>
            <w:sz w:val="14"/>
            <w:szCs w:val="14"/>
            <w:u w:val="single"/>
            <w:rtl w:val="0"/>
          </w:rPr>
          <w:t xml:space="preserve">https://www.narf.org/nill//bulletins/federal/documents/devia.pdf</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[32] Navajo Nation Code, Title 18 – Diné Natural Resources Protection Act of 2005 (uranium mining ban): </w:t>
      </w:r>
      <w:hyperlink r:id="rId55">
        <w:r w:rsidDel="00000000" w:rsidR="00000000" w:rsidRPr="00000000">
          <w:rPr>
            <w:rFonts w:ascii="Inter" w:cs="Inter" w:eastAsia="Inter" w:hAnsi="Inter"/>
            <w:color w:val="0563c1"/>
            <w:sz w:val="14"/>
            <w:szCs w:val="14"/>
            <w:u w:val="single"/>
            <w:rtl w:val="0"/>
          </w:rPr>
          <w:t xml:space="preserve">https://haulno.com/wp-content/uploads/2023/12/Dine-Natural-Resources-Protection-Act-of-2005.pdf</w:t>
        </w:r>
      </w:hyperlink>
      <w:r w:rsidDel="00000000" w:rsidR="00000000" w:rsidRPr="00000000">
        <w:rPr>
          <w:rFonts w:ascii="Inter" w:cs="Inter" w:eastAsia="Inter" w:hAnsi="Inter"/>
          <w:sz w:val="14"/>
          <w:szCs w:val="14"/>
          <w:rtl w:val="0"/>
        </w:rPr>
        <w:tab/>
        <w:tab/>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[33] Navajo Nation Radioactive and Related Substances Equipment, Vehicles, Persons, and Materials Transportation Act (2012); 2024 Navajo Nation Executive Order: </w:t>
      </w:r>
      <w:hyperlink r:id="rId56">
        <w:r w:rsidDel="00000000" w:rsidR="00000000" w:rsidRPr="00000000">
          <w:rPr>
            <w:rFonts w:ascii="Inter" w:cs="Inter" w:eastAsia="Inter" w:hAnsi="Inter"/>
            <w:color w:val="0563c1"/>
            <w:sz w:val="14"/>
            <w:szCs w:val="14"/>
            <w:u w:val="single"/>
            <w:rtl w:val="0"/>
          </w:rPr>
          <w:t xml:space="preserve">https://opvp.navajo-nsn.gov</w:t>
        </w:r>
      </w:hyperlink>
      <w:r w:rsidDel="00000000" w:rsidR="00000000" w:rsidRPr="00000000">
        <w:rPr>
          <w:rFonts w:ascii="Inter" w:cs="Inter" w:eastAsia="Inter" w:hAnsi="Inter"/>
          <w:sz w:val="14"/>
          <w:szCs w:val="14"/>
          <w:rtl w:val="0"/>
        </w:rPr>
        <w:tab/>
        <w:tab/>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[34] BIA Branch of Geospatial Support (BOGS) – AIAN Land Area Representation (LAR) shapefile portal: </w:t>
      </w:r>
      <w:hyperlink r:id="rId57">
        <w:r w:rsidDel="00000000" w:rsidR="00000000" w:rsidRPr="00000000">
          <w:rPr>
            <w:rFonts w:ascii="Inter" w:cs="Inter" w:eastAsia="Inter" w:hAnsi="Inter"/>
            <w:color w:val="0563c1"/>
            <w:sz w:val="14"/>
            <w:szCs w:val="14"/>
            <w:u w:val="single"/>
            <w:rtl w:val="0"/>
          </w:rPr>
          <w:t xml:space="preserve">https://www.bia.gov/bia/ots/dris/bogs</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[35] U.S. Census Bureau – TIGER/Line AIANNH shapefiles (American Indian/Alaska Native/Native Hawaiian Areas): </w:t>
      </w:r>
      <w:hyperlink r:id="rId58">
        <w:r w:rsidDel="00000000" w:rsidR="00000000" w:rsidRPr="00000000">
          <w:rPr>
            <w:rFonts w:ascii="Inter" w:cs="Inter" w:eastAsia="Inter" w:hAnsi="Inter"/>
            <w:color w:val="0563c1"/>
            <w:sz w:val="14"/>
            <w:szCs w:val="14"/>
            <w:u w:val="single"/>
            <w:rtl w:val="0"/>
          </w:rPr>
          <w:t xml:space="preserve">census.gov/geographies/mapping-files/time-series/geo/tiger-line-file.html</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[36] DOE/NETL IRA Energy Community Data Layers (shapefiles for coal-closure tracts and FFE MSAs/non-MSAs): </w:t>
      </w:r>
      <w:hyperlink r:id="rId59">
        <w:r w:rsidDel="00000000" w:rsidR="00000000" w:rsidRPr="00000000">
          <w:rPr>
            <w:rFonts w:ascii="Inter" w:cs="Inter" w:eastAsia="Inter" w:hAnsi="Inter"/>
            <w:color w:val="0563c1"/>
            <w:sz w:val="14"/>
            <w:szCs w:val="14"/>
            <w:u w:val="single"/>
            <w:rtl w:val="0"/>
          </w:rPr>
          <w:t xml:space="preserve">edx.netl.doe.gov/dataset/ira-energy-community-data-layers</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[37] DOE/NETL IRA Energy Community Tax Credit Bonus Mapping Application: </w:t>
      </w:r>
      <w:hyperlink r:id="rId60">
        <w:r w:rsidDel="00000000" w:rsidR="00000000" w:rsidRPr="00000000">
          <w:rPr>
            <w:rFonts w:ascii="Inter" w:cs="Inter" w:eastAsia="Inter" w:hAnsi="Inter"/>
            <w:color w:val="0563c1"/>
            <w:sz w:val="14"/>
            <w:szCs w:val="14"/>
            <w:u w:val="single"/>
            <w:rtl w:val="0"/>
          </w:rPr>
          <w:t xml:space="preserve">https://arcgis.netl.doe.gov/portal/apps/experiencebuilder/experience/?id=a2ce47d4721a477a8701bd0e08495e1d</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[38] EPA Cleanups in My Community (CIMC) – Brownfield Properties geodatabase: </w:t>
      </w:r>
      <w:hyperlink r:id="rId61">
        <w:r w:rsidDel="00000000" w:rsidR="00000000" w:rsidRPr="00000000">
          <w:rPr>
            <w:rFonts w:ascii="Inter" w:cs="Inter" w:eastAsia="Inter" w:hAnsi="Inter"/>
            <w:color w:val="0563c1"/>
            <w:sz w:val="14"/>
            <w:szCs w:val="14"/>
            <w:u w:val="single"/>
            <w:rtl w:val="0"/>
          </w:rPr>
          <w:t xml:space="preserve">epa.gov/cleanups/cleanups-my-community-web-map-service-and-more</w:t>
        </w:r>
      </w:hyperlink>
      <w:r w:rsidDel="00000000" w:rsidR="00000000" w:rsidRPr="00000000">
        <w:rPr>
          <w:rFonts w:ascii="Inter" w:cs="Inter" w:eastAsia="Inter" w:hAnsi="Inter"/>
          <w:sz w:val="14"/>
          <w:szCs w:val="14"/>
          <w:rtl w:val="0"/>
        </w:rPr>
        <w:tab/>
        <w:tab/>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[39] EPA Region 9 – Navajo Nation Abandoned Uranium Mines: </w:t>
      </w:r>
      <w:hyperlink r:id="rId62">
        <w:r w:rsidDel="00000000" w:rsidR="00000000" w:rsidRPr="00000000">
          <w:rPr>
            <w:rFonts w:ascii="Inter" w:cs="Inter" w:eastAsia="Inter" w:hAnsi="Inter"/>
            <w:color w:val="0563c1"/>
            <w:sz w:val="14"/>
            <w:szCs w:val="14"/>
            <w:u w:val="single"/>
            <w:rtl w:val="0"/>
          </w:rPr>
          <w:t xml:space="preserve">epa.gov/navajo-nation-uranium-cleanup</w:t>
        </w:r>
      </w:hyperlink>
      <w:r w:rsidDel="00000000" w:rsidR="00000000" w:rsidRPr="00000000">
        <w:rPr>
          <w:rFonts w:ascii="Inter" w:cs="Inter" w:eastAsia="Inter" w:hAnsi="Inter"/>
          <w:sz w:val="14"/>
          <w:szCs w:val="14"/>
          <w:rtl w:val="0"/>
        </w:rPr>
        <w:tab/>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sz w:val="14"/>
          <w:szCs w:val="14"/>
          <w:rtl w:val="0"/>
        </w:rPr>
        <w:t xml:space="preserve">[40] Climate Cabinet Education – Tax Credit Bonuses Map (combined Justice40, energy community, and low-income census tract layers): </w:t>
      </w:r>
      <w:hyperlink r:id="rId63">
        <w:r w:rsidDel="00000000" w:rsidR="00000000" w:rsidRPr="00000000">
          <w:rPr>
            <w:rFonts w:ascii="Inter" w:cs="Inter" w:eastAsia="Inter" w:hAnsi="Inter"/>
            <w:color w:val="0563c1"/>
            <w:sz w:val="14"/>
            <w:szCs w:val="14"/>
            <w:u w:val="single"/>
            <w:rtl w:val="0"/>
          </w:rPr>
          <w:t xml:space="preserve">climatecabineteducation.org/tax-credit-bonuses-map/</w:t>
        </w:r>
      </w:hyperlink>
      <w:r w:rsidDel="00000000" w:rsidR="00000000" w:rsidRPr="00000000">
        <w:rPr>
          <w:rtl w:val="0"/>
        </w:rPr>
      </w:r>
    </w:p>
    <w:p w:rsidR="00000000" w:rsidDel="00000000" w:rsidP="00000000" w:rsidRDefault="00000000" w:rsidRPr="00000000" w14:paraId="00000147">
      <w:pPr>
        <w:pStyle w:val="Heading3"/>
        <w:rPr>
          <w:rFonts w:ascii="Inter" w:cs="Inter" w:eastAsia="Inter" w:hAnsi="Inter"/>
          <w:sz w:val="14"/>
          <w:szCs w:val="14"/>
        </w:rPr>
      </w:pPr>
      <w:r w:rsidDel="00000000" w:rsidR="00000000" w:rsidRPr="00000000">
        <w:rPr>
          <w:rFonts w:ascii="Inter" w:cs="Inter" w:eastAsia="Inter" w:hAnsi="Inter"/>
          <w:sz w:val="14"/>
          <w:szCs w:val="14"/>
          <w:rtl w:val="0"/>
        </w:rPr>
        <w:t xml:space="preserve">6.2 Industry &amp; Legal Analysis</w:t>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[41] Morgan Lewis – Impact of OBBBA on Nuclear Tax Incentives (July 2025): </w:t>
      </w:r>
      <w:hyperlink r:id="rId64">
        <w:r w:rsidDel="00000000" w:rsidR="00000000" w:rsidRPr="00000000">
          <w:rPr>
            <w:rFonts w:ascii="Inter" w:cs="Inter" w:eastAsia="Inter" w:hAnsi="Inter"/>
            <w:color w:val="0563c1"/>
            <w:sz w:val="14"/>
            <w:szCs w:val="14"/>
            <w:u w:val="single"/>
            <w:rtl w:val="0"/>
          </w:rPr>
          <w:t xml:space="preserve">morganlewis.com/pubs/2025/07/the-impact-of-the-one-big-beautiful-bill-act-on-nuclear-tax-incentives</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[42] Morgan Lewis – IRA Boosts Nuclear Power (Aug 2022): </w:t>
      </w:r>
      <w:hyperlink r:id="rId65">
        <w:r w:rsidDel="00000000" w:rsidR="00000000" w:rsidRPr="00000000">
          <w:rPr>
            <w:rFonts w:ascii="Inter" w:cs="Inter" w:eastAsia="Inter" w:hAnsi="Inter"/>
            <w:color w:val="0563c1"/>
            <w:sz w:val="14"/>
            <w:szCs w:val="14"/>
            <w:u w:val="single"/>
            <w:rtl w:val="0"/>
          </w:rPr>
          <w:t xml:space="preserve">morganlewis.com/pubs/2022/08/inflation-reduction-act-of-2022-boosts-nuclear-power-with-tax-credits-and-funding</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[43] Sidley Austin – Navigating the OBBBA Energy Landscape: </w:t>
      </w:r>
      <w:hyperlink r:id="rId66">
        <w:r w:rsidDel="00000000" w:rsidR="00000000" w:rsidRPr="00000000">
          <w:rPr>
            <w:rFonts w:ascii="Inter" w:cs="Inter" w:eastAsia="Inter" w:hAnsi="Inter"/>
            <w:color w:val="0563c1"/>
            <w:sz w:val="14"/>
            <w:szCs w:val="14"/>
            <w:u w:val="single"/>
            <w:rtl w:val="0"/>
          </w:rPr>
          <w:t xml:space="preserve">sidley.com/en/insights/newsupdates/2025/07/the-one-big-beautiful-bill-act-navigating-the-new-energy-landscape</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[44] Baker Botts – OBBBA Clean Energy Tax Landscape (July 2025): </w:t>
      </w:r>
      <w:hyperlink r:id="rId67">
        <w:r w:rsidDel="00000000" w:rsidR="00000000" w:rsidRPr="00000000">
          <w:rPr>
            <w:rFonts w:ascii="Inter" w:cs="Inter" w:eastAsia="Inter" w:hAnsi="Inter"/>
            <w:color w:val="0563c1"/>
            <w:sz w:val="14"/>
            <w:szCs w:val="14"/>
            <w:u w:val="single"/>
            <w:rtl w:val="0"/>
          </w:rPr>
          <w:t xml:space="preserve">bakerbotts.com/thought-leadership/publications/2025/july/one-big-beautiful-bill-act-substantially-alters-clean-energy-tax-landscape</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[45] Kirkland &amp; Ellis – OBBBA Brings Big Changes to Green Energy Tax Credits: </w:t>
      </w:r>
      <w:hyperlink r:id="rId68">
        <w:r w:rsidDel="00000000" w:rsidR="00000000" w:rsidRPr="00000000">
          <w:rPr>
            <w:rFonts w:ascii="Inter" w:cs="Inter" w:eastAsia="Inter" w:hAnsi="Inter"/>
            <w:color w:val="0563c1"/>
            <w:sz w:val="14"/>
            <w:szCs w:val="14"/>
            <w:u w:val="single"/>
            <w:rtl w:val="0"/>
          </w:rPr>
          <w:t xml:space="preserve">kirkland.com/publications/kirkland-alert/2025/08/one-big-beautiful-bill-act-brings-big-changes-to-green-energy-tax-credits</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[46] Latham &amp; Watkins – OBBBA Disrupts Clean Energy Investment: </w:t>
      </w:r>
      <w:hyperlink r:id="rId69">
        <w:r w:rsidDel="00000000" w:rsidR="00000000" w:rsidRPr="00000000">
          <w:rPr>
            <w:rFonts w:ascii="Inter" w:cs="Inter" w:eastAsia="Inter" w:hAnsi="Inter"/>
            <w:color w:val="0563c1"/>
            <w:sz w:val="14"/>
            <w:szCs w:val="14"/>
            <w:u w:val="single"/>
            <w:rtl w:val="0"/>
          </w:rPr>
          <w:t xml:space="preserve">lw.com/en/insights/one-big-beautiful-bill-new-law-disrupts-clean-energy-investment</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[47] Quarles &amp; Brady (Pilar Thomas) – A Summary of the Inflation Reduction Act for Tribal Governments (Nov. 7, 2022), via JD Supra: </w:t>
      </w:r>
      <w:hyperlink r:id="rId70">
        <w:r w:rsidDel="00000000" w:rsidR="00000000" w:rsidRPr="00000000">
          <w:rPr>
            <w:rFonts w:ascii="Inter" w:cs="Inter" w:eastAsia="Inter" w:hAnsi="Inter"/>
            <w:color w:val="0563c1"/>
            <w:sz w:val="14"/>
            <w:szCs w:val="14"/>
            <w:u w:val="single"/>
            <w:rtl w:val="0"/>
          </w:rPr>
          <w:t xml:space="preserve">jdsupra.com/legalnews/a-summary-of-inflation-reduction-act-4743409/</w:t>
        </w:r>
      </w:hyperlink>
      <w:r w:rsidDel="00000000" w:rsidR="00000000" w:rsidRPr="00000000">
        <w:rPr>
          <w:rFonts w:ascii="Inter" w:cs="Inter" w:eastAsia="Inter" w:hAnsi="Inter"/>
          <w:color w:val="000000"/>
          <w:sz w:val="14"/>
          <w:szCs w:val="14"/>
          <w:rtl w:val="0"/>
        </w:rPr>
        <w:tab/>
      </w:r>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[48] Moss Adams – Overview of IRA Clean Energy Tax Legislation: </w:t>
      </w:r>
      <w:hyperlink r:id="rId71">
        <w:r w:rsidDel="00000000" w:rsidR="00000000" w:rsidRPr="00000000">
          <w:rPr>
            <w:rFonts w:ascii="Inter" w:cs="Inter" w:eastAsia="Inter" w:hAnsi="Inter"/>
            <w:color w:val="0563c1"/>
            <w:sz w:val="14"/>
            <w:szCs w:val="14"/>
            <w:u w:val="single"/>
            <w:rtl w:val="0"/>
          </w:rPr>
          <w:t xml:space="preserve">mossadams.com/articles/2022/08/inflation-reduction-act-clean-energy-credits</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[49] Nixon Peabody – Energy Community Bonus Eligibility: </w:t>
      </w:r>
      <w:hyperlink r:id="rId72">
        <w:r w:rsidDel="00000000" w:rsidR="00000000" w:rsidRPr="00000000">
          <w:rPr>
            <w:rFonts w:ascii="Inter" w:cs="Inter" w:eastAsia="Inter" w:hAnsi="Inter"/>
            <w:color w:val="0563c1"/>
            <w:sz w:val="14"/>
            <w:szCs w:val="14"/>
            <w:u w:val="single"/>
            <w:rtl w:val="0"/>
          </w:rPr>
          <w:t xml:space="preserve">nixonpeabody.com/insights/alerts/2023/04/27/eligibility-requirements-for-energy-community-bonus-tax-credits</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[50] NC Clean Energy Technology Center – 2024 Advanced Nuclear Review: </w:t>
      </w:r>
      <w:hyperlink r:id="rId73">
        <w:r w:rsidDel="00000000" w:rsidR="00000000" w:rsidRPr="00000000">
          <w:rPr>
            <w:rFonts w:ascii="Inter" w:cs="Inter" w:eastAsia="Inter" w:hAnsi="Inter"/>
            <w:color w:val="0563c1"/>
            <w:sz w:val="14"/>
            <w:szCs w:val="14"/>
            <w:u w:val="single"/>
            <w:rtl w:val="0"/>
          </w:rPr>
          <w:t xml:space="preserve">nccleantech.ncsu.edu/2025/01/28/2024-in-review-navigating-the-advanced-nuclear-landscape</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[51] Nuclear Innovation Alliance – Importance of Tax Credits for U.S. Nuclear Leadership: </w:t>
      </w:r>
      <w:hyperlink r:id="rId74">
        <w:r w:rsidDel="00000000" w:rsidR="00000000" w:rsidRPr="00000000">
          <w:rPr>
            <w:rFonts w:ascii="Inter" w:cs="Inter" w:eastAsia="Inter" w:hAnsi="Inter"/>
            <w:color w:val="0563c1"/>
            <w:sz w:val="14"/>
            <w:szCs w:val="14"/>
            <w:u w:val="single"/>
            <w:rtl w:val="0"/>
          </w:rPr>
          <w:t xml:space="preserve">nuclearinnovationalliance.org/sites/default/files/2025-03/Importance%20of%20Tax%20Credits%20-%20Final.pdf</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[52] Nuclear Innovation Alliance – Implications of IRA Tax Credits for Advanced Nuclear (Dec 2023): </w:t>
      </w:r>
      <w:hyperlink r:id="rId75">
        <w:r w:rsidDel="00000000" w:rsidR="00000000" w:rsidRPr="00000000">
          <w:rPr>
            <w:rFonts w:ascii="Inter" w:cs="Inter" w:eastAsia="Inter" w:hAnsi="Inter"/>
            <w:color w:val="0563c1"/>
            <w:sz w:val="14"/>
            <w:szCs w:val="14"/>
            <w:u w:val="single"/>
            <w:rtl w:val="0"/>
          </w:rPr>
          <w:t xml:space="preserve">nuclearinnovationalliance.org/sites/default/files/2023-12/Final%20Report%20V1%20-%20Implications%20of%20Inflation%20Reduction%20Act%20Tax%20Credits%20-%20December%202023.pdf</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[53] Law Journal for Social Justice – Tribes &amp; §48 Tax Credits Under the IRA: </w:t>
      </w:r>
      <w:hyperlink r:id="rId76">
        <w:r w:rsidDel="00000000" w:rsidR="00000000" w:rsidRPr="00000000">
          <w:rPr>
            <w:rFonts w:ascii="Inter" w:cs="Inter" w:eastAsia="Inter" w:hAnsi="Inter"/>
            <w:color w:val="0563c1"/>
            <w:sz w:val="14"/>
            <w:szCs w:val="14"/>
            <w:u w:val="single"/>
            <w:rtl w:val="0"/>
          </w:rPr>
          <w:t xml:space="preserve">ljsj.wordpress.com/2024/02/02/tribes-may-take-advantage-of-section-48-tax-credits-under-the-inflation-reduction-act-to-develop-clean-energy-projects</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[54] IRS Notice 2023-29 – Energy Community Bonus Credit Guidance: </w:t>
      </w:r>
      <w:hyperlink r:id="rId77">
        <w:r w:rsidDel="00000000" w:rsidR="00000000" w:rsidRPr="00000000">
          <w:rPr>
            <w:rFonts w:ascii="Inter" w:cs="Inter" w:eastAsia="Inter" w:hAnsi="Inter"/>
            <w:color w:val="0563c1"/>
            <w:sz w:val="14"/>
            <w:szCs w:val="14"/>
            <w:u w:val="single"/>
            <w:rtl w:val="0"/>
          </w:rPr>
          <w:t xml:space="preserve">irs.gov/pub/irs-drop/n-23-29.pdf</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[55] IRS Notice 2023-38 – Domestic Content Bonus Credit Guidance: </w:t>
      </w:r>
      <w:hyperlink r:id="rId78">
        <w:r w:rsidDel="00000000" w:rsidR="00000000" w:rsidRPr="00000000">
          <w:rPr>
            <w:rFonts w:ascii="Inter" w:cs="Inter" w:eastAsia="Inter" w:hAnsi="Inter"/>
            <w:color w:val="0563c1"/>
            <w:sz w:val="14"/>
            <w:szCs w:val="14"/>
            <w:u w:val="single"/>
            <w:rtl w:val="0"/>
          </w:rPr>
          <w:t xml:space="preserve">irs.gov/pub/irs-drop/n-23-38.pdf</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[56] IRS – Register for Elective Payment or Transfer of Credits (Pre-Filing Registration, 120-Day Recommendation): </w:t>
      </w:r>
      <w:hyperlink r:id="rId79">
        <w:r w:rsidDel="00000000" w:rsidR="00000000" w:rsidRPr="00000000">
          <w:rPr>
            <w:rFonts w:ascii="Inter" w:cs="Inter" w:eastAsia="Inter" w:hAnsi="Inter"/>
            <w:color w:val="0563c1"/>
            <w:sz w:val="14"/>
            <w:szCs w:val="14"/>
            <w:u w:val="single"/>
            <w:rtl w:val="0"/>
          </w:rPr>
          <w:t xml:space="preserve">irs.gov/credits-deductions/register-for-elective-payment-or-transfer-of-credits</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[57] Multinational Monitor (Sept 1995) – Native American Tribes and Nuclear Waste (Mescalero 490–362, Tonkawa 1994 referenda, Yakama/Spokane positions): </w:t>
      </w:r>
      <w:hyperlink r:id="rId80">
        <w:r w:rsidDel="00000000" w:rsidR="00000000" w:rsidRPr="00000000">
          <w:rPr>
            <w:rFonts w:ascii="Inter" w:cs="Inter" w:eastAsia="Inter" w:hAnsi="Inter"/>
            <w:color w:val="0563c1"/>
            <w:sz w:val="14"/>
            <w:szCs w:val="14"/>
            <w:u w:val="single"/>
            <w:rtl w:val="0"/>
          </w:rPr>
          <w:t xml:space="preserve">multinationalmonitor.org/hyper/mm0995.07.html</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[58] Nuclear Innovation Alliance – Promoting Efficient NRC Advanced Reactor Licensing Reviews (Dec 2021): </w:t>
      </w:r>
      <w:hyperlink r:id="rId81">
        <w:r w:rsidDel="00000000" w:rsidR="00000000" w:rsidRPr="00000000">
          <w:rPr>
            <w:rFonts w:ascii="Inter" w:cs="Inter" w:eastAsia="Inter" w:hAnsi="Inter"/>
            <w:color w:val="0563c1"/>
            <w:sz w:val="14"/>
            <w:szCs w:val="14"/>
            <w:u w:val="single"/>
            <w:rtl w:val="0"/>
          </w:rPr>
          <w:t xml:space="preserve">nuclearinnovationalliance.org/sites/default/files/2021-12/NIA%20Promoting%20Efficient%20NRC%20Advanced%20Reactor%20Licensing%20Reviews%20to%20Enable%20Rapid%20Decarbonization.pdf</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z w:val="14"/>
          <w:szCs w:val="14"/>
        </w:rPr>
      </w:pPr>
      <w:r w:rsidDel="00000000" w:rsidR="00000000" w:rsidRPr="00000000">
        <w:rPr>
          <w:rFonts w:ascii="Inter" w:cs="Inter" w:eastAsia="Inter" w:hAnsi="Inter"/>
          <w:color w:val="000000"/>
          <w:sz w:val="14"/>
          <w:szCs w:val="14"/>
          <w:rtl w:val="0"/>
        </w:rPr>
        <w:t xml:space="preserve">[59] DOE Loan Programs Office – Pricing for LPO Financing by Program (FFB liquidity + risk-based charge for TEFP and Title 17): </w:t>
      </w:r>
      <w:hyperlink r:id="rId82">
        <w:r w:rsidDel="00000000" w:rsidR="00000000" w:rsidRPr="00000000">
          <w:rPr>
            <w:rFonts w:ascii="Inter" w:cs="Inter" w:eastAsia="Inter" w:hAnsi="Inter"/>
            <w:color w:val="0563c1"/>
            <w:sz w:val="14"/>
            <w:szCs w:val="14"/>
            <w:u w:val="single"/>
            <w:rtl w:val="0"/>
          </w:rPr>
          <w:t xml:space="preserve">energy.gov/lpo/articles/pricing-lpo-financing-program</w:t>
        </w:r>
      </w:hyperlink>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headerReference r:id="rId83" w:type="default"/>
      <w:footerReference r:id="rId84" w:type="default"/>
      <w:pgSz w:h="15840" w:w="12240" w:orient="portrait"/>
      <w:pgMar w:bottom="1440" w:top="1440" w:left="1440" w:right="1440" w:header="680"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Chaplin" w:id="0" w:date="2026-05-11T15:35:00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BLM have permit authority over Tribal Lands or was this a one-off situation for this project?</w:t>
      </w:r>
    </w:p>
  </w:comment>
  <w:comment w:author="Josefina Curti" w:id="1" w:date="2026-05-11T22:12:06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BIA, not BLM, has Interior jurisdiction over leases and ROWs on tribal trust land ( under 25 CFR).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https://www.bia.gov/service/leasing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 this case: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PFS needed (i) a BLM ROW under FLPMA to transport spent nuclear fuel across off-reservation public land , and (ii) BIA approval of the lease https://www.federalregister.gov/documents/2006/02/07/E6-1595/notice-of-request-for-comments-to-address-right-of-way-applications-filed-by-private-fuel-storage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September 7, 2006, BLM denied the ROW (citing the Cedar Mountain Wilderness designation in the 2006 NDAA) and BIA disapproved the lease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http://thecresset.org/2006/Martin-Schramm_A2006.html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E" w15:done="0"/>
  <w15:commentEx w15:paraId="00000167" w15:paraIdParent="0000015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pace Grotesk">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right"/>
      <w:rPr>
        <w:rFonts w:ascii="Space Grotesk" w:cs="Space Grotesk" w:eastAsia="Space Grotesk" w:hAnsi="Space Grotesk"/>
      </w:rPr>
    </w:pPr>
    <w:r w:rsidDel="00000000" w:rsidR="00000000" w:rsidRPr="00000000">
      <w:rPr>
        <w:rFonts w:ascii="Space Grotesk" w:cs="Space Grotesk" w:eastAsia="Space Grotesk" w:hAnsi="Space Grotesk"/>
        <w:color w:val="808080"/>
        <w:sz w:val="18"/>
        <w:szCs w:val="18"/>
        <w:rtl w:val="0"/>
      </w:rPr>
      <w:t xml:space="preserve">Nuclear on Tribal Lands — Incentives Summary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lantemoran.com/explore-our-thinking/insight/2025/01/prevailing-wage-requirements-for-bonus-ira-energy-tax-credits" TargetMode="External"/><Relationship Id="rId84" Type="http://schemas.openxmlformats.org/officeDocument/2006/relationships/footer" Target="footer1.xml"/><Relationship Id="rId83" Type="http://schemas.openxmlformats.org/officeDocument/2006/relationships/header" Target="header1.xml"/><Relationship Id="rId42" Type="http://schemas.openxmlformats.org/officeDocument/2006/relationships/hyperlink" Target="https://www.energy.gov/sites/default/files/2023-01/2-us-treasury-ie-ira-jan-2023.pdf" TargetMode="External"/><Relationship Id="rId41" Type="http://schemas.openxmlformats.org/officeDocument/2006/relationships/hyperlink" Target="https://ie-exchange.energy.gov/" TargetMode="External"/><Relationship Id="rId44" Type="http://schemas.openxmlformats.org/officeDocument/2006/relationships/hyperlink" Target="https://www.congress.gov/crs-product/R48358" TargetMode="External"/><Relationship Id="rId43" Type="http://schemas.openxmlformats.org/officeDocument/2006/relationships/hyperlink" Target="https://www.epa.gov/brownfields/federal-programs" TargetMode="External"/><Relationship Id="rId46" Type="http://schemas.openxmlformats.org/officeDocument/2006/relationships/hyperlink" Target="https://files.gao.gov/reports/GAO-25-108720/index.html" TargetMode="External"/><Relationship Id="rId45" Type="http://schemas.openxmlformats.org/officeDocument/2006/relationships/hyperlink" Target="https://www.congress.gov/crs-product/IF11793" TargetMode="External"/><Relationship Id="rId80" Type="http://schemas.openxmlformats.org/officeDocument/2006/relationships/hyperlink" Target="https://multinationalmonitor.org/hyper/mm0995.07.html" TargetMode="External"/><Relationship Id="rId82" Type="http://schemas.openxmlformats.org/officeDocument/2006/relationships/hyperlink" Target="https://www.energy.gov/lpo/articles/pricing-lpo-financing-program" TargetMode="External"/><Relationship Id="rId81" Type="http://schemas.openxmlformats.org/officeDocument/2006/relationships/hyperlink" Target="https://nuclearinnovationalliance.org/sites/default/files/2021-12/NIA%20Promoting%20Efficient%20NRC%20Advanced%20Reactor%20Licensing%20Reviews%20to%20Enable%20Rapid%20Decarbonization.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nemap-bia-geospatial.hub.arcgis.com/maps/0b68963dd35545dd855de994bcc335c4/explore" TargetMode="External"/><Relationship Id="rId48" Type="http://schemas.openxmlformats.org/officeDocument/2006/relationships/hyperlink" Target="https://www.nrc.gov/about-nrc/state-tribal-programs/agreement-state-program/pursuing-an-agreement-with-the-nrc-faqs" TargetMode="External"/><Relationship Id="rId47" Type="http://schemas.openxmlformats.org/officeDocument/2006/relationships/hyperlink" Target="https://www.nrc.gov/about-nrc/state-tribal/tps" TargetMode="External"/><Relationship Id="rId49" Type="http://schemas.openxmlformats.org/officeDocument/2006/relationships/hyperlink" Target="https://www.nrc.gov/about-nrc/state-tribal/tribal-liaison-team/tribal-liaison-ma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nccleantech.ncsu.edu/2025/01/28/2024-in-review-navigating-the-advanced-nuclear-landscape/" TargetMode="External"/><Relationship Id="rId72" Type="http://schemas.openxmlformats.org/officeDocument/2006/relationships/hyperlink" Target="https://www.nixonpeabody.com/insights/alerts/2023/04/27/eligibility-requirements-for-energy-community-bonus-tax-credits" TargetMode="External"/><Relationship Id="rId31" Type="http://schemas.openxmlformats.org/officeDocument/2006/relationships/hyperlink" Target="https://www.energy.gov/indianenergy/funding" TargetMode="External"/><Relationship Id="rId75" Type="http://schemas.openxmlformats.org/officeDocument/2006/relationships/hyperlink" Target="https://nuclearinnovationalliance.org/sites/default/files/2023-12/Final%20Report%20V1%20-%20Implications%20of%20Inflation%20Reduction%20Act%20Tax%20Credits%20-%20December%202023.pdf" TargetMode="External"/><Relationship Id="rId30" Type="http://schemas.openxmlformats.org/officeDocument/2006/relationships/hyperlink" Target="https://www.energy.gov/indianenergy/articles/us-department-energy-announce-funding-opportunity-energy-technology-0" TargetMode="External"/><Relationship Id="rId74" Type="http://schemas.openxmlformats.org/officeDocument/2006/relationships/hyperlink" Target="https://nuclearinnovationalliance.org/sites/default/files/2025-03/Importance%20of%20Tax%20Credits%20-%20Final.pdf" TargetMode="External"/><Relationship Id="rId33" Type="http://schemas.openxmlformats.org/officeDocument/2006/relationships/hyperlink" Target="https://tribalbusinessnews.com/sections/energy/15548-doe-announces-50m-tribal-energy-funding-opportunity-at-res" TargetMode="External"/><Relationship Id="rId77" Type="http://schemas.openxmlformats.org/officeDocument/2006/relationships/hyperlink" Target="https://www.irs.gov/pub/irs-drop/n-23-29.pdf" TargetMode="External"/><Relationship Id="rId32" Type="http://schemas.openxmlformats.org/officeDocument/2006/relationships/hyperlink" Target="https://www.energy.gov/articles/energy-department-announces-50-million-investment-advance-affordable-reliable-and-secure" TargetMode="External"/><Relationship Id="rId76" Type="http://schemas.openxmlformats.org/officeDocument/2006/relationships/hyperlink" Target="https://ljsj.wordpress.com/2024/02/02/tribes-may-take-advantage-of-section-48-tax-credits-under-the-inflation-reduction-act-to-develop-clean-energy-projects/" TargetMode="External"/><Relationship Id="rId35" Type="http://schemas.openxmlformats.org/officeDocument/2006/relationships/hyperlink" Target="https://www.energy.gov/edf/tribal-energy-financing-program-frequently-asked-questions" TargetMode="External"/><Relationship Id="rId79" Type="http://schemas.openxmlformats.org/officeDocument/2006/relationships/hyperlink" Target="https://www.irs.gov/credits-deductions/register-for-elective-payment-or-transfer-of-credits" TargetMode="External"/><Relationship Id="rId34" Type="http://schemas.openxmlformats.org/officeDocument/2006/relationships/hyperlink" Target="https://www.energy.gov/EDF" TargetMode="External"/><Relationship Id="rId78" Type="http://schemas.openxmlformats.org/officeDocument/2006/relationships/hyperlink" Target="https://www.irs.gov/pub/irs-drop/n-23-38.pdf" TargetMode="External"/><Relationship Id="rId71" Type="http://schemas.openxmlformats.org/officeDocument/2006/relationships/hyperlink" Target="https://www.mossadams.com/articles/2022/08/inflation-reduction-act-clean-energy-credits" TargetMode="External"/><Relationship Id="rId70" Type="http://schemas.openxmlformats.org/officeDocument/2006/relationships/hyperlink" Target="https://www.jdsupra.com/legalnews/a-summary-of-inflation-reduction-act-4743409/" TargetMode="External"/><Relationship Id="rId37" Type="http://schemas.openxmlformats.org/officeDocument/2006/relationships/hyperlink" Target="https://www.wilsoncenter.org/article/nuclear-power-tribal-power" TargetMode="External"/><Relationship Id="rId36" Type="http://schemas.openxmlformats.org/officeDocument/2006/relationships/hyperlink" Target="https://arcgis.netl.doe.gov/portal/apps/experiencebuilder/experience/?id=785ee47a99d24b36b405acd03d97a5f9" TargetMode="External"/><Relationship Id="rId39" Type="http://schemas.openxmlformats.org/officeDocument/2006/relationships/hyperlink" Target="https://www.morganlewis.com/pubs/2023/05/irs-releases-highly-anticipated-guidance-on-domestic-content-ira-tax-credit-adder" TargetMode="External"/><Relationship Id="rId38" Type="http://schemas.openxmlformats.org/officeDocument/2006/relationships/hyperlink" Target="https://www.cruxclimate.com/insights/transferable-tax-credits" TargetMode="External"/><Relationship Id="rId62" Type="http://schemas.openxmlformats.org/officeDocument/2006/relationships/hyperlink" Target="https://www.epa.gov/navajo-nation-uranium-cleanup" TargetMode="External"/><Relationship Id="rId61" Type="http://schemas.openxmlformats.org/officeDocument/2006/relationships/hyperlink" Target="https://www.epa.gov/cleanups/cleanups-my-community-web-map-service-and-more" TargetMode="External"/><Relationship Id="rId20" Type="http://schemas.openxmlformats.org/officeDocument/2006/relationships/hyperlink" Target="https://www.epa.gov/cleanups/cimc-web-map-service-and-more" TargetMode="External"/><Relationship Id="rId64" Type="http://schemas.openxmlformats.org/officeDocument/2006/relationships/hyperlink" Target="https://www.morganlewis.com/pubs/2025/07/the-impact-of-the-one-big-beautiful-bill-act-on-nuclear-tax-incentives" TargetMode="External"/><Relationship Id="rId63" Type="http://schemas.openxmlformats.org/officeDocument/2006/relationships/hyperlink" Target="https://climatecabineteducation.org/tax-credit-bonuses-map/" TargetMode="External"/><Relationship Id="rId22" Type="http://schemas.openxmlformats.org/officeDocument/2006/relationships/hyperlink" Target="https://home.treasury.gov/news/press-releases/jy2775" TargetMode="External"/><Relationship Id="rId66" Type="http://schemas.openxmlformats.org/officeDocument/2006/relationships/hyperlink" Target="https://www.sidley.com/en/insights/newsupdates/2025/07/the-one-big-beautiful-bill-act-navigating-the-new-energy-landscape" TargetMode="External"/><Relationship Id="rId21" Type="http://schemas.openxmlformats.org/officeDocument/2006/relationships/hyperlink" Target="https://home.treasury.gov/news/press-releases/jy1830" TargetMode="External"/><Relationship Id="rId65" Type="http://schemas.openxmlformats.org/officeDocument/2006/relationships/hyperlink" Target="https://www.morganlewis.com/pubs/2022/08/inflation-reduction-act-of-2022-boosts-nuclear-power-with-tax-credits-and-funding" TargetMode="External"/><Relationship Id="rId24" Type="http://schemas.openxmlformats.org/officeDocument/2006/relationships/hyperlink" Target="https://www.irs.gov/credits-deductions/frequently-asked-questions-for-energy-communities" TargetMode="External"/><Relationship Id="rId68" Type="http://schemas.openxmlformats.org/officeDocument/2006/relationships/hyperlink" Target="https://www.kirkland.com/publications/kirkland-alert/2025/08/one-big-beautiful-bill-act-brings-big-changes-to-green-energy-tax-credits" TargetMode="External"/><Relationship Id="rId23" Type="http://schemas.openxmlformats.org/officeDocument/2006/relationships/hyperlink" Target="https://www.irs.gov/credits-deductions/clean-electricity-low-income-communities-bonus-credit-amount-program" TargetMode="External"/><Relationship Id="rId67" Type="http://schemas.openxmlformats.org/officeDocument/2006/relationships/hyperlink" Target="https://www.bakerbotts.com/thought-leadership/publications/2025/july/one-big-beautiful-bill-act-substantially-alters-clean-energy-tax-landscape" TargetMode="External"/><Relationship Id="rId60" Type="http://schemas.openxmlformats.org/officeDocument/2006/relationships/hyperlink" Target="https://arcgis.netl.doe.gov/portal/apps/experiencebuilder/experience/?id=a2ce47d4721a477a8701bd0e08495e1d" TargetMode="External"/><Relationship Id="rId26" Type="http://schemas.openxmlformats.org/officeDocument/2006/relationships/hyperlink" Target="https://www.irs.gov/pub/irs-drop/rp-25-11.pdf" TargetMode="External"/><Relationship Id="rId25" Type="http://schemas.openxmlformats.org/officeDocument/2006/relationships/hyperlink" Target="https://www.irs.gov/credits-and-deductions-under-the-inflation-reduction-act-of-2022" TargetMode="External"/><Relationship Id="rId69" Type="http://schemas.openxmlformats.org/officeDocument/2006/relationships/hyperlink" Target="https://www.lw.com/en/insights/one-big-beautiful-bill-new-law-disrupts-clean-energy-investment" TargetMode="External"/><Relationship Id="rId28" Type="http://schemas.openxmlformats.org/officeDocument/2006/relationships/hyperlink" Target="https://home.treasury.gov/system/files/136/48E-Tribal-Consultation-Summary-Federal-Response-1-8-25.pdf" TargetMode="External"/><Relationship Id="rId27" Type="http://schemas.openxmlformats.org/officeDocument/2006/relationships/hyperlink" Target="https://www.federalregister.gov/documents/2025/01/13/2025-00331/guidance-on-clean-electricity-low-income-communities-bonus-credit-amount-program" TargetMode="External"/><Relationship Id="rId29" Type="http://schemas.openxmlformats.org/officeDocument/2006/relationships/hyperlink" Target="https://www.energy.gov/ne/articles/inflation-reduction-act-keeps-momentum-building-nuclear-power" TargetMode="External"/><Relationship Id="rId51" Type="http://schemas.openxmlformats.org/officeDocument/2006/relationships/hyperlink" Target="https://www.law.cornell.edu/uscode/text/42/chapter-23" TargetMode="External"/><Relationship Id="rId50" Type="http://schemas.openxmlformats.org/officeDocument/2006/relationships/hyperlink" Target="https://www.nrc.gov/docs/ML2322/ML23228A191.pdf" TargetMode="External"/><Relationship Id="rId53" Type="http://schemas.openxmlformats.org/officeDocument/2006/relationships/hyperlink" Target="https://caselaw.findlaw.com/court/us-dc-circuit/1187398.html" TargetMode="External"/><Relationship Id="rId52" Type="http://schemas.openxmlformats.org/officeDocument/2006/relationships/hyperlink" Target="https://law.justia.com/cases/federal/appellate-courts/F3/376/1223/597592/" TargetMode="External"/><Relationship Id="rId11" Type="http://schemas.openxmlformats.org/officeDocument/2006/relationships/hyperlink" Target="https://www.census.gov/geographies/mapping-files/time-series/geo/tiger-line-file.html" TargetMode="External"/><Relationship Id="rId55" Type="http://schemas.openxmlformats.org/officeDocument/2006/relationships/hyperlink" Target="https://haulno.com/wp-content/uploads/2023/12/Dine-Natural-Resources-Protection-Act-of-2005.pdf" TargetMode="External"/><Relationship Id="rId10" Type="http://schemas.openxmlformats.org/officeDocument/2006/relationships/hyperlink" Target="https://experience.arcgis.com/experience/49fe6d3b860d47c588db75074fa42309/page/Page" TargetMode="External"/><Relationship Id="rId54" Type="http://schemas.openxmlformats.org/officeDocument/2006/relationships/hyperlink" Target="https://www.narf.org/nill//bulletins/federal/documents/devia.pdf" TargetMode="External"/><Relationship Id="rId13" Type="http://schemas.openxmlformats.org/officeDocument/2006/relationships/hyperlink" Target="https://mapshaper.org" TargetMode="External"/><Relationship Id="rId57" Type="http://schemas.openxmlformats.org/officeDocument/2006/relationships/hyperlink" Target="https://www.bia.gov/bia/ots/dris/bogs" TargetMode="External"/><Relationship Id="rId12" Type="http://schemas.openxmlformats.org/officeDocument/2006/relationships/hyperlink" Target="https://drive.google.com/drive/folders/17WpMRXLfWLOz5IO8vZ1xuNjMB515gH_A?usp=drive_link" TargetMode="External"/><Relationship Id="rId56" Type="http://schemas.openxmlformats.org/officeDocument/2006/relationships/hyperlink" Target="https://opvp.navajo-nsn.gov" TargetMode="External"/><Relationship Id="rId15" Type="http://schemas.openxmlformats.org/officeDocument/2006/relationships/image" Target="media/image1.png"/><Relationship Id="rId59" Type="http://schemas.openxmlformats.org/officeDocument/2006/relationships/hyperlink" Target="https://edx.netl.doe.gov/dataset/ira-energy-community-data-layers" TargetMode="External"/><Relationship Id="rId14" Type="http://schemas.openxmlformats.org/officeDocument/2006/relationships/image" Target="media/image2.png"/><Relationship Id="rId58" Type="http://schemas.openxmlformats.org/officeDocument/2006/relationships/hyperlink" Target="https://www.census.gov/geographies/mapping-files/time-series/geo/tiger-line-file.html" TargetMode="External"/><Relationship Id="rId17" Type="http://schemas.openxmlformats.org/officeDocument/2006/relationships/hyperlink" Target="https://edx.netl.doe.gov/dataset/ira-energy-community-data-layers" TargetMode="External"/><Relationship Id="rId16" Type="http://schemas.openxmlformats.org/officeDocument/2006/relationships/hyperlink" Target="https://arcgis.netl.doe.gov/portal/apps/experiencebuilder/experience/?id=a2ce47d4721a477a8701bd0e08495e1d" TargetMode="External"/><Relationship Id="rId19" Type="http://schemas.openxmlformats.org/officeDocument/2006/relationships/hyperlink" Target="https://drive.google.com/drive/folders/1zV2vwiyYw0OK9sws6U7seSWojC04T6o3?usp=drive_link" TargetMode="External"/><Relationship Id="rId18" Type="http://schemas.openxmlformats.org/officeDocument/2006/relationships/hyperlink" Target="https://zenodo.org/records/147571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SpaceGrotesk-regular.ttf"/><Relationship Id="rId8"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0x915j3PIQ9tS/AK0shfNXOBPA==">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