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C014C" w:rsidRDefault="00000000">
      <w:pPr>
        <w:spacing w:after="80"/>
        <w:jc w:val="center"/>
        <w:rPr>
          <w:rFonts w:ascii="Inter" w:eastAsia="Inter" w:hAnsi="Inter" w:cs="Inter"/>
          <w:sz w:val="14"/>
          <w:szCs w:val="14"/>
        </w:rPr>
      </w:pPr>
      <w:r>
        <w:rPr>
          <w:rFonts w:ascii="Inter" w:eastAsia="Inter" w:hAnsi="Inter" w:cs="Inter"/>
          <w:b/>
          <w:bCs/>
          <w:color w:val="1F4E78"/>
        </w:rPr>
        <w:t>Nuclear Project Deployment Incentives on Tribal Lands</w:t>
      </w:r>
    </w:p>
    <w:p w14:paraId="00000002" w14:textId="77777777" w:rsidR="002C014C" w:rsidRDefault="00000000">
      <w:pPr>
        <w:spacing w:after="320"/>
        <w:jc w:val="center"/>
        <w:rPr>
          <w:rFonts w:ascii="Inter" w:eastAsia="Inter" w:hAnsi="Inter" w:cs="Inter"/>
          <w:sz w:val="14"/>
          <w:szCs w:val="14"/>
        </w:rPr>
      </w:pPr>
      <w:r>
        <w:rPr>
          <w:rFonts w:ascii="Inter" w:eastAsia="Inter" w:hAnsi="Inter" w:cs="Inter"/>
          <w:i/>
          <w:iCs/>
          <w:color w:val="595959"/>
          <w:sz w:val="16"/>
          <w:szCs w:val="16"/>
        </w:rPr>
        <w:t>Summary of Federal Tax Credits, Direct Pay, Loan Programs, and Application Process</w:t>
      </w:r>
    </w:p>
    <w:p w14:paraId="00000003" w14:textId="77777777" w:rsidR="002C014C" w:rsidRDefault="00000000">
      <w:pPr>
        <w:pStyle w:val="Heading1"/>
        <w:rPr>
          <w:rFonts w:ascii="Inter" w:eastAsia="Inter" w:hAnsi="Inter" w:cs="Inter"/>
          <w:sz w:val="20"/>
          <w:szCs w:val="20"/>
        </w:rPr>
      </w:pPr>
      <w:r>
        <w:rPr>
          <w:rFonts w:ascii="Inter" w:eastAsia="Inter" w:hAnsi="Inter" w:cs="Inter"/>
          <w:sz w:val="20"/>
          <w:szCs w:val="20"/>
        </w:rPr>
        <w:t>Executive Summary</w:t>
      </w:r>
    </w:p>
    <w:p w14:paraId="00000004"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Nuclear projects sited on Tribal lands can stack several federal incentives that, in combination, can offset 30–70% of project capital cost (for facilities under 5 MW) or 30–50% for utility-scale projects, plus access to substantial DOE loan guarantees and grants. The benefits flow from three primary statutes: (1) the Inflation Reduction Act of 2022 (IRA), (2) the One Big Beautiful Bill Act of 2025 (OBBBA), and (3) Title XXVI of the Energy Policy Act, as </w:t>
      </w:r>
      <w:proofErr w:type="gramStart"/>
      <w:r>
        <w:rPr>
          <w:rFonts w:ascii="Inter" w:eastAsia="Inter" w:hAnsi="Inter" w:cs="Inter"/>
          <w:sz w:val="16"/>
          <w:szCs w:val="16"/>
        </w:rPr>
        <w:t>amended.</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1,2,6,9,41,42,53]</w:t>
      </w:r>
    </w:p>
    <w:p w14:paraId="00000005"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Critical scope note: The headline "+10% Indian land bonus" widely cited in the press is the Section 48E(h) Low-Income Communities Bonus Credit. By statute, it is capped at facilities with net output under 5 MW. This means microreactors qualify, but typical small modular reactors (SMRs, ~50–300 MWe) and large reactors do not qualify for that specific adder. Larger nuclear facilities on Tribal lands still benefit from the base 30% Section 48E ITC, the 10% domestic content adder, the 10% energy community adder (where applicable), Direct Pay, and DOE loan/grant </w:t>
      </w:r>
      <w:proofErr w:type="gramStart"/>
      <w:r>
        <w:rPr>
          <w:rFonts w:ascii="Inter" w:eastAsia="Inter" w:hAnsi="Inter" w:cs="Inter"/>
          <w:sz w:val="16"/>
          <w:szCs w:val="16"/>
        </w:rPr>
        <w:t>programs.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2,3,6,7]</w:t>
      </w:r>
    </w:p>
    <w:p w14:paraId="00000006" w14:textId="77777777" w:rsidR="002C014C" w:rsidRDefault="00000000">
      <w:pPr>
        <w:spacing w:after="120"/>
        <w:rPr>
          <w:rFonts w:ascii="Inter" w:eastAsia="Inter" w:hAnsi="Inter" w:cs="Inter"/>
          <w:sz w:val="16"/>
          <w:szCs w:val="16"/>
        </w:rPr>
      </w:pPr>
      <w:r>
        <w:rPr>
          <w:rFonts w:ascii="Inter" w:eastAsia="Inter" w:hAnsi="Inter" w:cs="Inter"/>
          <w:sz w:val="16"/>
          <w:szCs w:val="16"/>
        </w:rPr>
        <w:t>Key timing consideration: Under the OBBBA (signed July 4, 2025), the Section 48E ITC and Section 45Y PTC for nuclear remain available at full value for projects that begin construction before 2034, then phase down to 75% in 2034, 50% in 2035, and 0% for construction starting 2036 or later.</w:t>
      </w:r>
      <w:r>
        <w:rPr>
          <w:rFonts w:ascii="Inter" w:eastAsia="Inter" w:hAnsi="Inter" w:cs="Inter"/>
          <w:color w:val="0563C1"/>
          <w:sz w:val="16"/>
          <w:szCs w:val="16"/>
          <w:vertAlign w:val="superscript"/>
        </w:rPr>
        <w:t>[41,43,44,45,46]</w:t>
      </w:r>
    </w:p>
    <w:p w14:paraId="00000007"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Note on terminology: TEFP (Tribal Energy Financing Program) was previously known as TELGP (Tribal Energy Loan Guarantee Program). The program was renamed and recently moved from the DOE Loan Programs Office to the new Office of Energy Dominance Financing (EDF). All references in this document use the current TEFP/EDF </w:t>
      </w:r>
      <w:proofErr w:type="gramStart"/>
      <w:r>
        <w:rPr>
          <w:rFonts w:ascii="Inter" w:eastAsia="Inter" w:hAnsi="Inter" w:cs="Inter"/>
          <w:sz w:val="16"/>
          <w:szCs w:val="16"/>
        </w:rPr>
        <w:t>nomenclature.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13,14]</w:t>
      </w:r>
    </w:p>
    <w:p w14:paraId="00000008" w14:textId="77777777" w:rsidR="002C014C" w:rsidRDefault="00000000">
      <w:pPr>
        <w:pStyle w:val="Heading1"/>
        <w:rPr>
          <w:rFonts w:ascii="Inter" w:eastAsia="Inter" w:hAnsi="Inter" w:cs="Inter"/>
          <w:sz w:val="20"/>
          <w:szCs w:val="20"/>
        </w:rPr>
      </w:pPr>
      <w:r>
        <w:rPr>
          <w:rFonts w:ascii="Inter" w:eastAsia="Inter" w:hAnsi="Inter" w:cs="Inter"/>
          <w:sz w:val="20"/>
          <w:szCs w:val="20"/>
        </w:rPr>
        <w:t>1. Financial Benefits for Nuclear Projects on Tribal Lands</w:t>
      </w:r>
    </w:p>
    <w:p w14:paraId="00000009" w14:textId="77777777" w:rsidR="002C014C" w:rsidRDefault="00000000">
      <w:pPr>
        <w:pStyle w:val="Heading2"/>
        <w:rPr>
          <w:rFonts w:ascii="Inter" w:eastAsia="Inter" w:hAnsi="Inter" w:cs="Inter"/>
          <w:sz w:val="18"/>
          <w:szCs w:val="18"/>
        </w:rPr>
      </w:pPr>
      <w:r>
        <w:rPr>
          <w:rFonts w:ascii="Inter" w:eastAsia="Inter" w:hAnsi="Inter" w:cs="Inter"/>
          <w:sz w:val="18"/>
          <w:szCs w:val="18"/>
        </w:rPr>
        <w:t>1.1 Section 48E Clean Electricity Investment Tax Credit (Base ITC)</w:t>
      </w:r>
    </w:p>
    <w:p w14:paraId="0000000A"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Clean Electricity ITC under IRC §48E is the foundational benefit. New nuclear facilities (including advanced reactors, SMRs, and microreactors) placed in service after December 31, </w:t>
      </w:r>
      <w:proofErr w:type="gramStart"/>
      <w:r>
        <w:rPr>
          <w:rFonts w:ascii="Inter" w:eastAsia="Inter" w:hAnsi="Inter" w:cs="Inter"/>
          <w:sz w:val="16"/>
          <w:szCs w:val="16"/>
        </w:rPr>
        <w:t>2024</w:t>
      </w:r>
      <w:proofErr w:type="gramEnd"/>
      <w:r>
        <w:rPr>
          <w:rFonts w:ascii="Inter" w:eastAsia="Inter" w:hAnsi="Inter" w:cs="Inter"/>
          <w:sz w:val="16"/>
          <w:szCs w:val="16"/>
        </w:rPr>
        <w:t xml:space="preserve"> qualify, provided the facility produces a greenhouse gas emissions rate of </w:t>
      </w:r>
      <w:proofErr w:type="gramStart"/>
      <w:r>
        <w:rPr>
          <w:rFonts w:ascii="Inter" w:eastAsia="Inter" w:hAnsi="Inter" w:cs="Inter"/>
          <w:sz w:val="16"/>
          <w:szCs w:val="16"/>
        </w:rPr>
        <w:t>zero.</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5,9]</w:t>
      </w:r>
    </w:p>
    <w:p w14:paraId="0000000B"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Base credit: 6% of qualified investment cost basis (without prevailing wage &amp; apprenticeship</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5,9,19]</w:t>
      </w:r>
    </w:p>
    <w:p w14:paraId="0000000C"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Bonus credit: 30% of qualified investment cost basis when prevailing wage and apprenticeship (PWA) requirements are met. Almost all nuclear projects will plan to meet </w:t>
      </w:r>
      <w:proofErr w:type="gramStart"/>
      <w:r>
        <w:rPr>
          <w:rFonts w:ascii="Inter" w:eastAsia="Inter" w:hAnsi="Inter" w:cs="Inter"/>
          <w:color w:val="000000"/>
          <w:sz w:val="16"/>
          <w:szCs w:val="16"/>
        </w:rPr>
        <w:t>PWA.</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5,9,19]</w:t>
      </w:r>
    </w:p>
    <w:p w14:paraId="0000000D"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OBBBA phasedown for nuclear: 100% credit value for begin-construction before 2034; 75% in 2034; 50% in 2035; 0% in 2036 and </w:t>
      </w:r>
      <w:proofErr w:type="gramStart"/>
      <w:r>
        <w:rPr>
          <w:rFonts w:ascii="Inter" w:eastAsia="Inter" w:hAnsi="Inter" w:cs="Inter"/>
          <w:color w:val="000000"/>
          <w:sz w:val="16"/>
          <w:szCs w:val="16"/>
        </w:rPr>
        <w:t>later.</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41,43,44]</w:t>
      </w:r>
    </w:p>
    <w:p w14:paraId="0000000E" w14:textId="77777777" w:rsidR="002C014C" w:rsidRDefault="00000000">
      <w:pPr>
        <w:pStyle w:val="Heading2"/>
        <w:rPr>
          <w:rFonts w:ascii="Inter" w:eastAsia="Inter" w:hAnsi="Inter" w:cs="Inter"/>
          <w:sz w:val="18"/>
          <w:szCs w:val="18"/>
        </w:rPr>
      </w:pPr>
      <w:r>
        <w:rPr>
          <w:rFonts w:ascii="Inter" w:eastAsia="Inter" w:hAnsi="Inter" w:cs="Inter"/>
          <w:sz w:val="18"/>
          <w:szCs w:val="18"/>
        </w:rPr>
        <w:t>1.2 Stackable Bonus Adders</w:t>
      </w:r>
    </w:p>
    <w:p w14:paraId="0000000F" w14:textId="77777777" w:rsidR="002C014C" w:rsidRDefault="00000000">
      <w:pPr>
        <w:spacing w:after="120"/>
        <w:rPr>
          <w:rFonts w:ascii="Inter" w:eastAsia="Inter" w:hAnsi="Inter" w:cs="Inter"/>
          <w:sz w:val="16"/>
          <w:szCs w:val="16"/>
        </w:rPr>
      </w:pPr>
      <w:r>
        <w:rPr>
          <w:rFonts w:ascii="Inter" w:eastAsia="Inter" w:hAnsi="Inter" w:cs="Inter"/>
          <w:sz w:val="16"/>
          <w:szCs w:val="16"/>
        </w:rPr>
        <w:t>On top of the 30% base, nuclear projects can layer the following bonus adders: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400"/>
        <w:gridCol w:w="1800"/>
        <w:gridCol w:w="3760"/>
      </w:tblGrid>
      <w:tr w:rsidR="002C014C" w14:paraId="5E2CBAFF"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10" w14:textId="77777777" w:rsidR="002C014C" w:rsidRDefault="00000000">
            <w:pPr>
              <w:rPr>
                <w:rFonts w:ascii="Inter" w:eastAsia="Inter" w:hAnsi="Inter" w:cs="Inter"/>
                <w:sz w:val="16"/>
                <w:szCs w:val="16"/>
              </w:rPr>
            </w:pPr>
            <w:r>
              <w:rPr>
                <w:rFonts w:ascii="Inter" w:eastAsia="Inter" w:hAnsi="Inter" w:cs="Inter"/>
                <w:b/>
                <w:bCs/>
                <w:color w:val="FFFFFF"/>
                <w:sz w:val="16"/>
                <w:szCs w:val="16"/>
              </w:rPr>
              <w:t>Bonus Adder</w:t>
            </w:r>
          </w:p>
        </w:tc>
        <w:tc>
          <w:tcPr>
            <w:tcW w:w="14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11" w14:textId="77777777" w:rsidR="002C014C" w:rsidRDefault="00000000">
            <w:pPr>
              <w:rPr>
                <w:rFonts w:ascii="Inter" w:eastAsia="Inter" w:hAnsi="Inter" w:cs="Inter"/>
                <w:sz w:val="16"/>
                <w:szCs w:val="16"/>
              </w:rPr>
            </w:pPr>
            <w:r>
              <w:rPr>
                <w:rFonts w:ascii="Inter" w:eastAsia="Inter" w:hAnsi="Inter" w:cs="Inter"/>
                <w:b/>
                <w:bCs/>
                <w:color w:val="FFFFFF"/>
                <w:sz w:val="16"/>
                <w:szCs w:val="16"/>
              </w:rPr>
              <w:t>Value</w:t>
            </w:r>
          </w:p>
        </w:tc>
        <w:tc>
          <w:tcPr>
            <w:tcW w:w="180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12" w14:textId="77777777" w:rsidR="002C014C" w:rsidRDefault="00000000">
            <w:pPr>
              <w:rPr>
                <w:rFonts w:ascii="Inter" w:eastAsia="Inter" w:hAnsi="Inter" w:cs="Inter"/>
                <w:sz w:val="16"/>
                <w:szCs w:val="16"/>
              </w:rPr>
            </w:pPr>
            <w:r>
              <w:rPr>
                <w:rFonts w:ascii="Inter" w:eastAsia="Inter" w:hAnsi="Inter" w:cs="Inter"/>
                <w:b/>
                <w:bCs/>
                <w:color w:val="FFFFFF"/>
                <w:sz w:val="16"/>
                <w:szCs w:val="16"/>
              </w:rPr>
              <w:t>Applies to Nuclear?</w:t>
            </w:r>
          </w:p>
        </w:tc>
        <w:tc>
          <w:tcPr>
            <w:tcW w:w="376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13" w14:textId="77777777" w:rsidR="002C014C" w:rsidRDefault="00000000">
            <w:pPr>
              <w:rPr>
                <w:rFonts w:ascii="Inter" w:eastAsia="Inter" w:hAnsi="Inter" w:cs="Inter"/>
                <w:sz w:val="16"/>
                <w:szCs w:val="16"/>
              </w:rPr>
            </w:pPr>
            <w:r>
              <w:rPr>
                <w:rFonts w:ascii="Inter" w:eastAsia="Inter" w:hAnsi="Inter" w:cs="Inter"/>
                <w:b/>
                <w:bCs/>
                <w:color w:val="FFFFFF"/>
                <w:sz w:val="16"/>
                <w:szCs w:val="16"/>
              </w:rPr>
              <w:t>Key Requirements</w:t>
            </w:r>
          </w:p>
        </w:tc>
      </w:tr>
      <w:tr w:rsidR="002C014C" w14:paraId="750EA984"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4" w14:textId="77777777" w:rsidR="002C014C" w:rsidRDefault="00000000">
            <w:pPr>
              <w:rPr>
                <w:rFonts w:ascii="Inter" w:eastAsia="Inter" w:hAnsi="Inter" w:cs="Inter"/>
                <w:sz w:val="16"/>
                <w:szCs w:val="16"/>
              </w:rPr>
            </w:pPr>
            <w:r>
              <w:rPr>
                <w:rFonts w:ascii="Inter" w:eastAsia="Inter" w:hAnsi="Inter" w:cs="Inter"/>
                <w:sz w:val="16"/>
                <w:szCs w:val="16"/>
              </w:rPr>
              <w:t>Domestic Content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5" w14:textId="77777777" w:rsidR="002C014C" w:rsidRDefault="00000000">
            <w:pPr>
              <w:rPr>
                <w:rFonts w:ascii="Inter" w:eastAsia="Inter" w:hAnsi="Inter" w:cs="Inter"/>
                <w:sz w:val="16"/>
                <w:szCs w:val="16"/>
              </w:rPr>
            </w:pPr>
            <w:r>
              <w:rPr>
                <w:rFonts w:ascii="Inter" w:eastAsia="Inter" w:hAnsi="Inter" w:cs="Inter"/>
                <w:sz w:val="16"/>
                <w:szCs w:val="16"/>
              </w:rPr>
              <w:t>+10 pp ITC</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6" w14:textId="77777777" w:rsidR="002C014C" w:rsidRDefault="00000000">
            <w:pPr>
              <w:rPr>
                <w:rFonts w:ascii="Inter" w:eastAsia="Inter" w:hAnsi="Inter" w:cs="Inter"/>
                <w:sz w:val="16"/>
                <w:szCs w:val="16"/>
              </w:rPr>
            </w:pPr>
            <w:r>
              <w:rPr>
                <w:rFonts w:ascii="Inter" w:eastAsia="Inter" w:hAnsi="Inter" w:cs="Inter"/>
                <w:sz w:val="16"/>
                <w:szCs w:val="16"/>
              </w:rPr>
              <w:t>Yes — all sizes</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7" w14:textId="77777777" w:rsidR="002C014C" w:rsidRDefault="00000000">
            <w:pPr>
              <w:rPr>
                <w:rFonts w:ascii="Inter" w:eastAsia="Inter" w:hAnsi="Inter" w:cs="Inter"/>
                <w:sz w:val="16"/>
                <w:szCs w:val="16"/>
              </w:rPr>
            </w:pPr>
            <w:r>
              <w:rPr>
                <w:rFonts w:ascii="Inter" w:eastAsia="Inter" w:hAnsi="Inter" w:cs="Inter"/>
                <w:sz w:val="16"/>
                <w:szCs w:val="16"/>
              </w:rPr>
              <w:t xml:space="preserve">100% US steel/iron + ≥40% (rising to 55%) US-manufactured product cost </w:t>
            </w:r>
            <w:proofErr w:type="gramStart"/>
            <w:r>
              <w:rPr>
                <w:rFonts w:ascii="Inter" w:eastAsia="Inter" w:hAnsi="Inter" w:cs="Inter"/>
                <w:sz w:val="16"/>
                <w:szCs w:val="16"/>
              </w:rPr>
              <w:t>share.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18,23]</w:t>
            </w:r>
          </w:p>
        </w:tc>
      </w:tr>
      <w:tr w:rsidR="002C014C" w14:paraId="4E8A334D"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18" w14:textId="77777777" w:rsidR="002C014C" w:rsidRDefault="00000000">
            <w:pPr>
              <w:rPr>
                <w:rFonts w:ascii="Inter" w:eastAsia="Inter" w:hAnsi="Inter" w:cs="Inter"/>
                <w:sz w:val="16"/>
                <w:szCs w:val="16"/>
              </w:rPr>
            </w:pPr>
            <w:r>
              <w:rPr>
                <w:rFonts w:ascii="Inter" w:eastAsia="Inter" w:hAnsi="Inter" w:cs="Inter"/>
                <w:sz w:val="16"/>
                <w:szCs w:val="16"/>
              </w:rPr>
              <w:t>Energy Community (general)</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19" w14:textId="77777777" w:rsidR="002C014C" w:rsidRDefault="00000000">
            <w:pPr>
              <w:rPr>
                <w:rFonts w:ascii="Inter" w:eastAsia="Inter" w:hAnsi="Inter" w:cs="Inter"/>
                <w:sz w:val="16"/>
                <w:szCs w:val="16"/>
              </w:rPr>
            </w:pPr>
            <w:r>
              <w:rPr>
                <w:rFonts w:ascii="Inter" w:eastAsia="Inter" w:hAnsi="Inter" w:cs="Inter"/>
                <w:sz w:val="16"/>
                <w:szCs w:val="16"/>
              </w:rPr>
              <w:t>+10 pp ITC</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1A" w14:textId="77777777" w:rsidR="002C014C" w:rsidRDefault="00000000">
            <w:pPr>
              <w:rPr>
                <w:rFonts w:ascii="Inter" w:eastAsia="Inter" w:hAnsi="Inter" w:cs="Inter"/>
                <w:sz w:val="16"/>
                <w:szCs w:val="16"/>
              </w:rPr>
            </w:pPr>
            <w:r>
              <w:rPr>
                <w:rFonts w:ascii="Inter" w:eastAsia="Inter" w:hAnsi="Inter" w:cs="Inter"/>
                <w:sz w:val="16"/>
                <w:szCs w:val="16"/>
              </w:rPr>
              <w:t>Yes — all sizes</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1B" w14:textId="77777777" w:rsidR="002C014C" w:rsidRDefault="00000000">
            <w:pPr>
              <w:rPr>
                <w:rFonts w:ascii="Inter" w:eastAsia="Inter" w:hAnsi="Inter" w:cs="Inter"/>
                <w:sz w:val="16"/>
                <w:szCs w:val="16"/>
              </w:rPr>
            </w:pPr>
            <w:r>
              <w:rPr>
                <w:rFonts w:ascii="Inter" w:eastAsia="Inter" w:hAnsi="Inter" w:cs="Inter"/>
                <w:sz w:val="16"/>
                <w:szCs w:val="16"/>
              </w:rPr>
              <w:t xml:space="preserve">Brownfield site, coal-closure census tract, or fossil-fuel statistical area meeting 0.17% employment / 25% tax revenue </w:t>
            </w:r>
            <w:proofErr w:type="gramStart"/>
            <w:r>
              <w:rPr>
                <w:rFonts w:ascii="Inter" w:eastAsia="Inter" w:hAnsi="Inter" w:cs="Inter"/>
                <w:sz w:val="16"/>
                <w:szCs w:val="16"/>
              </w:rPr>
              <w:t>test.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4,15,22]</w:t>
            </w:r>
          </w:p>
        </w:tc>
      </w:tr>
      <w:tr w:rsidR="002C014C" w14:paraId="26DEDEA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C" w14:textId="77777777" w:rsidR="002C014C" w:rsidRDefault="00000000">
            <w:pPr>
              <w:rPr>
                <w:rFonts w:ascii="Inter" w:eastAsia="Inter" w:hAnsi="Inter" w:cs="Inter"/>
                <w:sz w:val="16"/>
                <w:szCs w:val="16"/>
              </w:rPr>
            </w:pPr>
            <w:r>
              <w:rPr>
                <w:rFonts w:ascii="Inter" w:eastAsia="Inter" w:hAnsi="Inter" w:cs="Inter"/>
                <w:sz w:val="16"/>
                <w:szCs w:val="16"/>
              </w:rPr>
              <w:t>Nuclear Energy Community (OBBBA)</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D" w14:textId="77777777" w:rsidR="002C014C" w:rsidRDefault="00000000">
            <w:pPr>
              <w:rPr>
                <w:rFonts w:ascii="Inter" w:eastAsia="Inter" w:hAnsi="Inter" w:cs="Inter"/>
                <w:sz w:val="16"/>
                <w:szCs w:val="16"/>
              </w:rPr>
            </w:pPr>
            <w:r>
              <w:rPr>
                <w:rFonts w:ascii="Inter" w:eastAsia="Inter" w:hAnsi="Inter" w:cs="Inter"/>
                <w:sz w:val="16"/>
                <w:szCs w:val="16"/>
              </w:rPr>
              <w:t>+10% PTC only</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E" w14:textId="77777777" w:rsidR="002C014C" w:rsidRDefault="00000000">
            <w:pPr>
              <w:rPr>
                <w:rFonts w:ascii="Inter" w:eastAsia="Inter" w:hAnsi="Inter" w:cs="Inter"/>
                <w:sz w:val="16"/>
                <w:szCs w:val="16"/>
              </w:rPr>
            </w:pPr>
            <w:r>
              <w:rPr>
                <w:rFonts w:ascii="Inter" w:eastAsia="Inter" w:hAnsi="Inter" w:cs="Inter"/>
                <w:sz w:val="16"/>
                <w:szCs w:val="16"/>
              </w:rPr>
              <w:t>PTC route only — not ITC</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1F" w14:textId="77777777" w:rsidR="002C014C" w:rsidRDefault="00000000">
            <w:pPr>
              <w:rPr>
                <w:rFonts w:ascii="Inter" w:eastAsia="Inter" w:hAnsi="Inter" w:cs="Inter"/>
                <w:sz w:val="16"/>
                <w:szCs w:val="16"/>
              </w:rPr>
            </w:pPr>
            <w:r>
              <w:rPr>
                <w:rFonts w:ascii="Inter" w:eastAsia="Inter" w:hAnsi="Inter" w:cs="Inter"/>
                <w:sz w:val="16"/>
                <w:szCs w:val="16"/>
              </w:rPr>
              <w:t>Advanced nuclear facility in MSA with ≥0.17% nuclear employment (since 2010). PTC §45Y route only.</w:t>
            </w:r>
            <w:r>
              <w:rPr>
                <w:rFonts w:ascii="Inter" w:eastAsia="Inter" w:hAnsi="Inter" w:cs="Inter"/>
                <w:color w:val="0563C1"/>
                <w:sz w:val="16"/>
                <w:szCs w:val="16"/>
                <w:vertAlign w:val="superscript"/>
              </w:rPr>
              <w:t>[41]</w:t>
            </w:r>
          </w:p>
        </w:tc>
      </w:tr>
      <w:tr w:rsidR="002C014C" w14:paraId="4F11542F"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20" w14:textId="77777777" w:rsidR="002C014C" w:rsidRDefault="00000000">
            <w:pPr>
              <w:rPr>
                <w:rFonts w:ascii="Inter" w:eastAsia="Inter" w:hAnsi="Inter" w:cs="Inter"/>
                <w:sz w:val="16"/>
                <w:szCs w:val="16"/>
              </w:rPr>
            </w:pPr>
            <w:r>
              <w:rPr>
                <w:rFonts w:ascii="Inter" w:eastAsia="Inter" w:hAnsi="Inter" w:cs="Inter"/>
                <w:sz w:val="16"/>
                <w:szCs w:val="16"/>
              </w:rPr>
              <w:t>Indian Land Bonus §48E(h)</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21" w14:textId="77777777" w:rsidR="002C014C" w:rsidRDefault="00000000">
            <w:pPr>
              <w:rPr>
                <w:rFonts w:ascii="Inter" w:eastAsia="Inter" w:hAnsi="Inter" w:cs="Inter"/>
                <w:sz w:val="16"/>
                <w:szCs w:val="16"/>
              </w:rPr>
            </w:pPr>
            <w:r>
              <w:rPr>
                <w:rFonts w:ascii="Inter" w:eastAsia="Inter" w:hAnsi="Inter" w:cs="Inter"/>
                <w:sz w:val="16"/>
                <w:szCs w:val="16"/>
              </w:rPr>
              <w:t>+10 pp ITC</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22" w14:textId="77777777" w:rsidR="002C014C" w:rsidRDefault="00000000">
            <w:pPr>
              <w:rPr>
                <w:rFonts w:ascii="Inter" w:eastAsia="Inter" w:hAnsi="Inter" w:cs="Inter"/>
                <w:sz w:val="16"/>
                <w:szCs w:val="16"/>
              </w:rPr>
            </w:pPr>
            <w:r>
              <w:rPr>
                <w:rFonts w:ascii="Inter" w:eastAsia="Inter" w:hAnsi="Inter" w:cs="Inter"/>
                <w:sz w:val="16"/>
                <w:szCs w:val="16"/>
              </w:rPr>
              <w:t>Microreactors only (&lt;5 MW)</w:t>
            </w:r>
          </w:p>
        </w:tc>
        <w:tc>
          <w:tcPr>
            <w:tcW w:w="3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23" w14:textId="77777777" w:rsidR="002C014C" w:rsidRDefault="00000000">
            <w:pPr>
              <w:rPr>
                <w:rFonts w:ascii="Inter" w:eastAsia="Inter" w:hAnsi="Inter" w:cs="Inter"/>
                <w:sz w:val="16"/>
                <w:szCs w:val="16"/>
              </w:rPr>
            </w:pPr>
            <w:r>
              <w:rPr>
                <w:rFonts w:ascii="Inter" w:eastAsia="Inter" w:hAnsi="Inter" w:cs="Inter"/>
                <w:sz w:val="16"/>
                <w:szCs w:val="16"/>
              </w:rPr>
              <w:t xml:space="preserve">Net output under 5 MW. Allocated capacity (200 MW carve-out for Indian Land in 2026 program). Competitive </w:t>
            </w:r>
            <w:proofErr w:type="gramStart"/>
            <w:r>
              <w:rPr>
                <w:rFonts w:ascii="Inter" w:eastAsia="Inter" w:hAnsi="Inter" w:cs="Inter"/>
                <w:sz w:val="16"/>
                <w:szCs w:val="16"/>
              </w:rPr>
              <w:t>application.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2,3,6,7]</w:t>
            </w:r>
          </w:p>
        </w:tc>
      </w:tr>
      <w:tr w:rsidR="002C014C" w14:paraId="66D777E6"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24" w14:textId="77777777" w:rsidR="002C014C" w:rsidRDefault="00000000">
            <w:pPr>
              <w:rPr>
                <w:rFonts w:ascii="Inter" w:eastAsia="Inter" w:hAnsi="Inter" w:cs="Inter"/>
                <w:sz w:val="16"/>
                <w:szCs w:val="16"/>
              </w:rPr>
            </w:pPr>
            <w:r>
              <w:rPr>
                <w:rFonts w:ascii="Inter" w:eastAsia="Inter" w:hAnsi="Inter" w:cs="Inter"/>
                <w:sz w:val="16"/>
                <w:szCs w:val="16"/>
              </w:rPr>
              <w:t>Low-Income Residential / Economic Benefit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25" w14:textId="77777777" w:rsidR="002C014C" w:rsidRDefault="00000000">
            <w:pPr>
              <w:rPr>
                <w:rFonts w:ascii="Inter" w:eastAsia="Inter" w:hAnsi="Inter" w:cs="Inter"/>
                <w:sz w:val="16"/>
                <w:szCs w:val="16"/>
              </w:rPr>
            </w:pPr>
            <w:r>
              <w:rPr>
                <w:rFonts w:ascii="Inter" w:eastAsia="Inter" w:hAnsi="Inter" w:cs="Inter"/>
                <w:sz w:val="16"/>
                <w:szCs w:val="16"/>
              </w:rPr>
              <w:t>+20 pp ITC</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26" w14:textId="77777777" w:rsidR="002C014C" w:rsidRDefault="00000000">
            <w:pPr>
              <w:rPr>
                <w:rFonts w:ascii="Inter" w:eastAsia="Inter" w:hAnsi="Inter" w:cs="Inter"/>
                <w:sz w:val="16"/>
                <w:szCs w:val="16"/>
              </w:rPr>
            </w:pPr>
            <w:r>
              <w:rPr>
                <w:rFonts w:ascii="Inter" w:eastAsia="Inter" w:hAnsi="Inter" w:cs="Inter"/>
                <w:sz w:val="16"/>
                <w:szCs w:val="16"/>
              </w:rPr>
              <w:t>Microreactors only (&lt;5 MW)</w:t>
            </w:r>
          </w:p>
        </w:tc>
        <w:tc>
          <w:tcPr>
            <w:tcW w:w="37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27" w14:textId="77777777" w:rsidR="002C014C" w:rsidRDefault="00000000">
            <w:pPr>
              <w:rPr>
                <w:rFonts w:ascii="Inter" w:eastAsia="Inter" w:hAnsi="Inter" w:cs="Inter"/>
                <w:sz w:val="16"/>
                <w:szCs w:val="16"/>
              </w:rPr>
            </w:pPr>
            <w:r>
              <w:rPr>
                <w:rFonts w:ascii="Inter" w:eastAsia="Inter" w:hAnsi="Inter" w:cs="Inter"/>
                <w:sz w:val="16"/>
                <w:szCs w:val="16"/>
              </w:rPr>
              <w:t xml:space="preserve">≥50% of electricity benefits flow to qualifying low-income households, OR project is in a federally subsidized residential </w:t>
            </w:r>
            <w:proofErr w:type="gramStart"/>
            <w:r>
              <w:rPr>
                <w:rFonts w:ascii="Inter" w:eastAsia="Inter" w:hAnsi="Inter" w:cs="Inter"/>
                <w:sz w:val="16"/>
                <w:szCs w:val="16"/>
              </w:rPr>
              <w:t>building.</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2,3,7]</w:t>
            </w:r>
          </w:p>
        </w:tc>
      </w:tr>
    </w:tbl>
    <w:p w14:paraId="00000028" w14:textId="77777777" w:rsidR="002C014C" w:rsidRDefault="00000000">
      <w:pPr>
        <w:spacing w:after="120"/>
        <w:rPr>
          <w:rFonts w:ascii="Inter" w:eastAsia="Inter" w:hAnsi="Inter" w:cs="Inter"/>
          <w:sz w:val="16"/>
          <w:szCs w:val="16"/>
        </w:rPr>
      </w:pPr>
      <w:r>
        <w:rPr>
          <w:rFonts w:ascii="Inter" w:eastAsia="Inter" w:hAnsi="Inter" w:cs="Inter"/>
          <w:sz w:val="16"/>
          <w:szCs w:val="16"/>
        </w:rPr>
        <w:t>Maximum stack for a microreactor (&lt;5 MW) on Tribal land: 30% base + 10% domestic content + 10% energy community + 10% Indian land + (potentially) 20% low-income economic benefit = up to 70% ITC of the qualified cost basis. The Section 48(e)/48E(h) maximum is capped at 70% ITC, even if separately the math could go higher.</w:t>
      </w:r>
    </w:p>
    <w:p w14:paraId="00000029" w14:textId="77777777" w:rsidR="002C014C" w:rsidRDefault="00000000">
      <w:pPr>
        <w:spacing w:after="120"/>
        <w:rPr>
          <w:rFonts w:ascii="Inter" w:eastAsia="Inter" w:hAnsi="Inter" w:cs="Inter"/>
          <w:sz w:val="16"/>
          <w:szCs w:val="16"/>
        </w:rPr>
      </w:pPr>
      <w:r>
        <w:rPr>
          <w:rFonts w:ascii="Inter" w:eastAsia="Inter" w:hAnsi="Inter" w:cs="Inter"/>
          <w:sz w:val="16"/>
          <w:szCs w:val="16"/>
        </w:rPr>
        <w:lastRenderedPageBreak/>
        <w:t>Maximum stack for utility-scale advanced reactor / SMR (≥5 MW) on Tribal land: 30% base + 10% domestic content + 10% energy community = 50% ITC (if energy community criteria are met at the site). Without the energy community adder, the ceiling is 40</w:t>
      </w:r>
      <w:proofErr w:type="gramStart"/>
      <w:r>
        <w:rPr>
          <w:rFonts w:ascii="Inter" w:eastAsia="Inter" w:hAnsi="Inter" w:cs="Inter"/>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5,18,49]</w:t>
      </w:r>
    </w:p>
    <w:p w14:paraId="0000002A" w14:textId="77777777" w:rsidR="002C014C" w:rsidRDefault="00000000">
      <w:pPr>
        <w:pStyle w:val="Heading2"/>
        <w:rPr>
          <w:rFonts w:ascii="Inter" w:eastAsia="Inter" w:hAnsi="Inter" w:cs="Inter"/>
          <w:sz w:val="18"/>
          <w:szCs w:val="18"/>
        </w:rPr>
      </w:pPr>
      <w:r>
        <w:rPr>
          <w:rFonts w:ascii="Inter" w:eastAsia="Inter" w:hAnsi="Inter" w:cs="Inter"/>
          <w:sz w:val="18"/>
          <w:szCs w:val="18"/>
        </w:rPr>
        <w:t>1.3 Direct Pay (Elective Payment) — Cash Refund for Tribes</w:t>
      </w:r>
    </w:p>
    <w:p w14:paraId="0000002B"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Tribal governments are tax-exempt and historically could not use ITCs. The IRA changed this through IRC §6417, allowing federally recognized Tribal governments, Tribal enterprises, Alaska Native Corporations, and other applicable entities to elect to receive the credit as a direct cash payment from the IRS instead of as an offset to tax </w:t>
      </w:r>
      <w:proofErr w:type="gramStart"/>
      <w:r>
        <w:rPr>
          <w:rFonts w:ascii="Inter" w:eastAsia="Inter" w:hAnsi="Inter" w:cs="Inter"/>
          <w:sz w:val="16"/>
          <w:szCs w:val="16"/>
        </w:rPr>
        <w:t>liability.</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8,21,47,53]</w:t>
      </w:r>
    </w:p>
    <w:p w14:paraId="0000002C"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The credit is refundable: the IRS issues a check (or wire) for the credit amount as a tax refund.</w:t>
      </w:r>
    </w:p>
    <w:p w14:paraId="0000002D"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This effectively converts a 30–70% tax credit into a 30–70% cash investment in the project.</w:t>
      </w:r>
    </w:p>
    <w:p w14:paraId="0000002E"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For partnerships involving a Tribe and a taxable developer, special elections under §761(a) may be required to preserve direct pay </w:t>
      </w:r>
      <w:proofErr w:type="gramStart"/>
      <w:r>
        <w:rPr>
          <w:rFonts w:ascii="Inter" w:eastAsia="Inter" w:hAnsi="Inter" w:cs="Inter"/>
          <w:color w:val="000000"/>
          <w:sz w:val="16"/>
          <w:szCs w:val="16"/>
        </w:rPr>
        <w:t>eligibility.</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47,53]</w:t>
      </w:r>
    </w:p>
    <w:p w14:paraId="0000002F" w14:textId="77777777" w:rsidR="002C014C" w:rsidRDefault="00000000">
      <w:pPr>
        <w:pStyle w:val="Heading2"/>
        <w:rPr>
          <w:rFonts w:ascii="Inter" w:eastAsia="Inter" w:hAnsi="Inter" w:cs="Inter"/>
          <w:sz w:val="18"/>
          <w:szCs w:val="18"/>
        </w:rPr>
      </w:pPr>
      <w:r>
        <w:rPr>
          <w:rFonts w:ascii="Inter" w:eastAsia="Inter" w:hAnsi="Inter" w:cs="Inter"/>
          <w:sz w:val="18"/>
          <w:szCs w:val="18"/>
        </w:rPr>
        <w:t>1.4 Section 45Y Production Tax Credit (PTC) — Alternative to ITC</w:t>
      </w:r>
    </w:p>
    <w:p w14:paraId="00000030"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Instead of the ITC, owners of new nuclear facilities placed in service after 2024 can elect the Clean Electricity PTC under §45Y, currently $30/MWh (inflation-adjusted from the $25/MWh statutory rate, with PWA met) for the first 10 years of </w:t>
      </w:r>
      <w:proofErr w:type="gramStart"/>
      <w:r>
        <w:rPr>
          <w:rFonts w:ascii="Inter" w:eastAsia="Inter" w:hAnsi="Inter" w:cs="Inter"/>
          <w:sz w:val="16"/>
          <w:szCs w:val="16"/>
        </w:rPr>
        <w:t>operation.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5,9,42]</w:t>
      </w:r>
    </w:p>
    <w:p w14:paraId="00000031"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OBBBA added a +10% "Nuclear Energy Community" adder to §45Y PTC (PTC only, not ITC).</w:t>
      </w:r>
      <w:r>
        <w:rPr>
          <w:rFonts w:ascii="Inter" w:eastAsia="Inter" w:hAnsi="Inter" w:cs="Inter"/>
          <w:color w:val="0563C1"/>
          <w:sz w:val="16"/>
          <w:szCs w:val="16"/>
          <w:vertAlign w:val="superscript"/>
        </w:rPr>
        <w:t>[41]</w:t>
      </w:r>
    </w:p>
    <w:p w14:paraId="00000032"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Domestic content +10% adder also available.</w:t>
      </w:r>
    </w:p>
    <w:p w14:paraId="00000033"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Direct Pay applies.</w:t>
      </w:r>
    </w:p>
    <w:p w14:paraId="00000034"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Important PTC adder mechanic: PTC adders are MULTIPLICATIVE on the credit rate (e.g., +10% means $30/MWh × 1.10 = $33/MWh per adder), whereas ITC adders are ADDITIVE percentage points on cost basis. This makes the ITC stack slightly more generous than the PTC stack when multiple adders apply. Source: IRS Notice 2023-29 (energy community); IRS Notice 2023-38 (domestic content); Morgan Lewis confirms domestic content adder is "10% (not 10 percentage points)" for the </w:t>
      </w:r>
      <w:proofErr w:type="gramStart"/>
      <w:r>
        <w:rPr>
          <w:rFonts w:ascii="Inter" w:eastAsia="Inter" w:hAnsi="Inter" w:cs="Inter"/>
          <w:color w:val="000000"/>
          <w:sz w:val="16"/>
          <w:szCs w:val="16"/>
        </w:rPr>
        <w:t>PTC.</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18,54,55]</w:t>
      </w:r>
    </w:p>
    <w:p w14:paraId="00000035"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PTC vs ITC choice depends on capacity factor, capital cost, and financing — generally, the PTC is more </w:t>
      </w:r>
      <w:proofErr w:type="spellStart"/>
      <w:r>
        <w:rPr>
          <w:rFonts w:ascii="Inter" w:eastAsia="Inter" w:hAnsi="Inter" w:cs="Inter"/>
          <w:color w:val="000000"/>
          <w:sz w:val="16"/>
          <w:szCs w:val="16"/>
        </w:rPr>
        <w:t>favorable</w:t>
      </w:r>
      <w:proofErr w:type="spellEnd"/>
      <w:r>
        <w:rPr>
          <w:rFonts w:ascii="Inter" w:eastAsia="Inter" w:hAnsi="Inter" w:cs="Inter"/>
          <w:color w:val="000000"/>
          <w:sz w:val="16"/>
          <w:szCs w:val="16"/>
        </w:rPr>
        <w:t xml:space="preserve"> for projects with low overnight capital cost and </w:t>
      </w:r>
      <w:proofErr w:type="gramStart"/>
      <w:r>
        <w:rPr>
          <w:rFonts w:ascii="Inter" w:eastAsia="Inter" w:hAnsi="Inter" w:cs="Inter"/>
          <w:color w:val="000000"/>
          <w:sz w:val="16"/>
          <w:szCs w:val="16"/>
        </w:rPr>
        <w:t>high capacity</w:t>
      </w:r>
      <w:proofErr w:type="gramEnd"/>
      <w:r>
        <w:rPr>
          <w:rFonts w:ascii="Inter" w:eastAsia="Inter" w:hAnsi="Inter" w:cs="Inter"/>
          <w:color w:val="000000"/>
          <w:sz w:val="16"/>
          <w:szCs w:val="16"/>
        </w:rPr>
        <w:t xml:space="preserve"> factor; the ITC is more </w:t>
      </w:r>
      <w:proofErr w:type="spellStart"/>
      <w:r>
        <w:rPr>
          <w:rFonts w:ascii="Inter" w:eastAsia="Inter" w:hAnsi="Inter" w:cs="Inter"/>
          <w:color w:val="000000"/>
          <w:sz w:val="16"/>
          <w:szCs w:val="16"/>
        </w:rPr>
        <w:t>favorable</w:t>
      </w:r>
      <w:proofErr w:type="spellEnd"/>
      <w:r>
        <w:rPr>
          <w:rFonts w:ascii="Inter" w:eastAsia="Inter" w:hAnsi="Inter" w:cs="Inter"/>
          <w:color w:val="000000"/>
          <w:sz w:val="16"/>
          <w:szCs w:val="16"/>
        </w:rPr>
        <w:t xml:space="preserve"> for first-of-a-kind (FOAK) projects with high capital </w:t>
      </w:r>
      <w:proofErr w:type="gramStart"/>
      <w:r>
        <w:rPr>
          <w:rFonts w:ascii="Inter" w:eastAsia="Inter" w:hAnsi="Inter" w:cs="Inter"/>
          <w:color w:val="000000"/>
          <w:sz w:val="16"/>
          <w:szCs w:val="16"/>
        </w:rPr>
        <w:t>cost.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51,52]</w:t>
      </w:r>
    </w:p>
    <w:p w14:paraId="00000036" w14:textId="77777777" w:rsidR="002C014C" w:rsidRDefault="00000000">
      <w:pPr>
        <w:pStyle w:val="Heading2"/>
        <w:rPr>
          <w:rFonts w:ascii="Inter" w:eastAsia="Inter" w:hAnsi="Inter" w:cs="Inter"/>
          <w:sz w:val="18"/>
          <w:szCs w:val="18"/>
        </w:rPr>
      </w:pPr>
      <w:r>
        <w:rPr>
          <w:rFonts w:ascii="Inter" w:eastAsia="Inter" w:hAnsi="Inter" w:cs="Inter"/>
          <w:sz w:val="18"/>
          <w:szCs w:val="18"/>
        </w:rPr>
        <w:t>1.5 DOE Tribal Energy Financing Program (TEFP) — Loan Guarantees</w:t>
      </w:r>
    </w:p>
    <w:p w14:paraId="00000037"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Now administered by the DOE Office of Energy Dominance Financing (EDF) under Title XXVI of the Energy Policy Act of 1992 (as amended by the IRA). TEFP — formerly known as the Tribal Energy Loan Guarantee Program (TELGP) — provides loan guarantees and direct lending up to $20 billion in authority for energy development on or off Tribal land for the benefit of a </w:t>
      </w:r>
      <w:proofErr w:type="gramStart"/>
      <w:r>
        <w:rPr>
          <w:rFonts w:ascii="Inter" w:eastAsia="Inter" w:hAnsi="Inter" w:cs="Inter"/>
          <w:sz w:val="16"/>
          <w:szCs w:val="16"/>
        </w:rPr>
        <w:t>Tribe.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13,14,24]</w:t>
      </w:r>
    </w:p>
    <w:p w14:paraId="00000038"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Technology-neutral: covers nuclear, including advanced reactors and SMRs.</w:t>
      </w:r>
    </w:p>
    <w:p w14:paraId="00000039"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Eligible borrowers: Indian Tribes, Tribal Energy Development Organizations (TEDOs), or lenders applying on behalf of Tribes.</w:t>
      </w:r>
    </w:p>
    <w:p w14:paraId="0000003A"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Statutory ceiling: TEFP can support up to 80% of eligible project costs (DOE Tribal Energy Financing Program FAQ). The actual debt/equity ratio is set based on project cash flow capacity for debt service.</w:t>
      </w:r>
      <w:r>
        <w:rPr>
          <w:rFonts w:ascii="Inter" w:eastAsia="Inter" w:hAnsi="Inter" w:cs="Inter"/>
          <w:color w:val="0563C1"/>
          <w:sz w:val="16"/>
          <w:szCs w:val="16"/>
          <w:vertAlign w:val="superscript"/>
        </w:rPr>
        <w:t>[14]</w:t>
      </w:r>
    </w:p>
    <w:p w14:paraId="0000003B"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First closed transaction: $72.8M loan guarantee for the Viejas Microgrid project (Viejas Band of the Kumeyaay Indians, California) — solar-plus-storage, illustrative of TEFP capability.</w:t>
      </w:r>
      <w:r>
        <w:rPr>
          <w:rFonts w:ascii="Inter" w:eastAsia="Inter" w:hAnsi="Inter" w:cs="Inter"/>
          <w:color w:val="0563C1"/>
          <w:sz w:val="16"/>
          <w:szCs w:val="16"/>
          <w:vertAlign w:val="superscript"/>
        </w:rPr>
        <w:t>[25]</w:t>
      </w:r>
    </w:p>
    <w:p w14:paraId="0000003C"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Working Families Tax Cut update: the previous "Federal Support Restriction" — which limited TEFP eligibility for projects already receiving other federal support — has been eliminated. TEFP loans can now stack more permissively with §48E ITC, Direct Pay, and DOE-IE grants.</w:t>
      </w:r>
      <w:r>
        <w:rPr>
          <w:rFonts w:ascii="Inter" w:eastAsia="Inter" w:hAnsi="Inter" w:cs="Inter"/>
          <w:color w:val="0563C1"/>
          <w:sz w:val="16"/>
          <w:szCs w:val="16"/>
          <w:vertAlign w:val="superscript"/>
        </w:rPr>
        <w:t>[12]</w:t>
      </w:r>
    </w:p>
    <w:p w14:paraId="0000003D"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Note: P.L. 119-21 §50402 (OBBBA) rescinded unobligated IRA funds for TEFP, leaving approximately $10.5 million in remaining loan subsidy. Loan guarantee authority itself remains, but subsidy funds are </w:t>
      </w:r>
      <w:proofErr w:type="gramStart"/>
      <w:r>
        <w:rPr>
          <w:rFonts w:ascii="Inter" w:eastAsia="Inter" w:hAnsi="Inter" w:cs="Inter"/>
          <w:color w:val="000000"/>
          <w:sz w:val="16"/>
          <w:szCs w:val="16"/>
        </w:rPr>
        <w:t>limited.</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24,41,46]</w:t>
      </w:r>
    </w:p>
    <w:p w14:paraId="0000003E" w14:textId="77777777" w:rsidR="002C014C" w:rsidRDefault="00000000">
      <w:pPr>
        <w:pStyle w:val="Heading2"/>
        <w:rPr>
          <w:rFonts w:ascii="Inter" w:eastAsia="Inter" w:hAnsi="Inter" w:cs="Inter"/>
          <w:sz w:val="18"/>
          <w:szCs w:val="18"/>
        </w:rPr>
      </w:pPr>
      <w:r>
        <w:rPr>
          <w:rFonts w:ascii="Inter" w:eastAsia="Inter" w:hAnsi="Inter" w:cs="Inter"/>
          <w:sz w:val="18"/>
          <w:szCs w:val="18"/>
        </w:rPr>
        <w:t>1.6 DOE Office of Indian Energy Grants</w:t>
      </w:r>
    </w:p>
    <w:p w14:paraId="0000003F"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DOE Office of Indian Energy administers competitive grant programs for energy technology deployment on Tribal lands. The current cycle is the "Unleashing Tribal Energy Development" NOFO (DE-FOA-0003548), released March 25, 2026, which supersedes earlier 2025 funding </w:t>
      </w:r>
      <w:proofErr w:type="gramStart"/>
      <w:r>
        <w:rPr>
          <w:rFonts w:ascii="Inter" w:eastAsia="Inter" w:hAnsi="Inter" w:cs="Inter"/>
          <w:sz w:val="16"/>
          <w:szCs w:val="16"/>
        </w:rPr>
        <w:t>announcements.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10,12]</w:t>
      </w:r>
      <w:r>
        <w:rPr>
          <w:rFonts w:ascii="Inter" w:eastAsia="Inter" w:hAnsi="Inter" w:cs="Inter"/>
          <w:sz w:val="16"/>
          <w:szCs w:val="16"/>
        </w:rPr>
        <w:t xml:space="preserve"> Key parameters:</w:t>
      </w:r>
    </w:p>
    <w:p w14:paraId="00000040"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Total program: $50 million; approximately 40 awards expected.</w:t>
      </w:r>
      <w:r>
        <w:rPr>
          <w:rFonts w:ascii="Inter" w:eastAsia="Inter" w:hAnsi="Inter" w:cs="Inter"/>
          <w:color w:val="0563C1"/>
          <w:sz w:val="16"/>
          <w:szCs w:val="16"/>
          <w:vertAlign w:val="superscript"/>
        </w:rPr>
        <w:t>[12]</w:t>
      </w:r>
    </w:p>
    <w:p w14:paraId="00000041"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Award range: $250,000 to $7,500,000 depending on Topic Area.</w:t>
      </w:r>
    </w:p>
    <w:p w14:paraId="00000042"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Topic Area 1 — community-scale energy project construction/installation: up to $7.5M, 10% non-federal cost share.</w:t>
      </w:r>
      <w:r>
        <w:rPr>
          <w:rFonts w:ascii="Inter" w:eastAsia="Inter" w:hAnsi="Inter" w:cs="Inter"/>
          <w:color w:val="0563C1"/>
          <w:sz w:val="16"/>
          <w:szCs w:val="16"/>
          <w:vertAlign w:val="superscript"/>
        </w:rPr>
        <w:t>[12]</w:t>
      </w:r>
    </w:p>
    <w:p w14:paraId="00000043"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Topic Area 2 — community-scale pre-development/feasibility: up to $1.5M, 0% cost share.</w:t>
      </w:r>
      <w:r>
        <w:rPr>
          <w:rFonts w:ascii="Inter" w:eastAsia="Inter" w:hAnsi="Inter" w:cs="Inter"/>
          <w:color w:val="0563C1"/>
          <w:sz w:val="16"/>
          <w:szCs w:val="16"/>
          <w:vertAlign w:val="superscript"/>
        </w:rPr>
        <w:t>[12]</w:t>
      </w:r>
    </w:p>
    <w:p w14:paraId="00000044"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lastRenderedPageBreak/>
        <w:t>Topic Area 3 — large-scale planning, assessment, and feasibility (most relevant for Tribal nuclear projects): up to $2.5M, 0% cost share. Designed to support feasibility work that can later unlock TEFP financing.</w:t>
      </w:r>
      <w:r>
        <w:rPr>
          <w:rFonts w:ascii="Inter" w:eastAsia="Inter" w:hAnsi="Inter" w:cs="Inter"/>
          <w:color w:val="0563C1"/>
          <w:sz w:val="16"/>
          <w:szCs w:val="16"/>
          <w:vertAlign w:val="superscript"/>
        </w:rPr>
        <w:t>[12]</w:t>
      </w:r>
    </w:p>
    <w:p w14:paraId="00000045"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Application deadline: July 24, </w:t>
      </w:r>
      <w:proofErr w:type="gramStart"/>
      <w:r>
        <w:rPr>
          <w:rFonts w:ascii="Inter" w:eastAsia="Inter" w:hAnsi="Inter" w:cs="Inter"/>
          <w:color w:val="000000"/>
          <w:sz w:val="16"/>
          <w:szCs w:val="16"/>
        </w:rPr>
        <w:t>2026</w:t>
      </w:r>
      <w:proofErr w:type="gramEnd"/>
      <w:r>
        <w:rPr>
          <w:rFonts w:ascii="Inter" w:eastAsia="Inter" w:hAnsi="Inter" w:cs="Inter"/>
          <w:color w:val="000000"/>
          <w:sz w:val="16"/>
          <w:szCs w:val="16"/>
        </w:rPr>
        <w:t xml:space="preserve"> at 5:00 PM ET.</w:t>
      </w:r>
      <w:r>
        <w:rPr>
          <w:rFonts w:ascii="Inter" w:eastAsia="Inter" w:hAnsi="Inter" w:cs="Inter"/>
          <w:color w:val="0563C1"/>
          <w:sz w:val="16"/>
          <w:szCs w:val="16"/>
          <w:vertAlign w:val="superscript"/>
        </w:rPr>
        <w:t>[12]</w:t>
      </w:r>
    </w:p>
    <w:p w14:paraId="00000046"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Eligible applicants: Indian Tribes (including Alaska Native regional and village corporations), Tribal and intertribal organizations, TEDOs, Tribal Colleges and Universities, and consortia of these.</w:t>
      </w:r>
      <w:r>
        <w:rPr>
          <w:rFonts w:ascii="Inter" w:eastAsia="Inter" w:hAnsi="Inter" w:cs="Inter"/>
          <w:color w:val="0563C1"/>
          <w:sz w:val="16"/>
          <w:szCs w:val="16"/>
          <w:vertAlign w:val="superscript"/>
        </w:rPr>
        <w:t>[12]</w:t>
      </w:r>
    </w:p>
    <w:p w14:paraId="00000047"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Nuclear is explicitly listed as one of the eligible technology categories alongside geothermal, oil and gas, and critical minerals.</w:t>
      </w:r>
      <w:r>
        <w:rPr>
          <w:rFonts w:ascii="Inter" w:eastAsia="Inter" w:hAnsi="Inter" w:cs="Inter"/>
          <w:color w:val="0563C1"/>
          <w:sz w:val="16"/>
          <w:szCs w:val="16"/>
          <w:vertAlign w:val="superscript"/>
        </w:rPr>
        <w:t>[12]</w:t>
      </w:r>
    </w:p>
    <w:p w14:paraId="00000048" w14:textId="77777777" w:rsidR="002C014C" w:rsidRDefault="00000000">
      <w:pPr>
        <w:spacing w:after="120"/>
        <w:rPr>
          <w:rFonts w:ascii="Inter" w:eastAsia="Inter" w:hAnsi="Inter" w:cs="Inter"/>
          <w:color w:val="0563C1"/>
          <w:sz w:val="16"/>
          <w:szCs w:val="16"/>
          <w:vertAlign w:val="superscript"/>
        </w:rPr>
      </w:pPr>
      <w:r>
        <w:rPr>
          <w:rFonts w:ascii="Inter" w:eastAsia="Inter" w:hAnsi="Inter" w:cs="Inter"/>
          <w:sz w:val="16"/>
          <w:szCs w:val="16"/>
        </w:rPr>
        <w:t xml:space="preserve">Historical context: from 2010–2022, DOE Office of Indian Energy financial assistance totalled nearly $120 million for over 210 Tribal energy </w:t>
      </w:r>
      <w:proofErr w:type="gramStart"/>
      <w:r>
        <w:rPr>
          <w:rFonts w:ascii="Inter" w:eastAsia="Inter" w:hAnsi="Inter" w:cs="Inter"/>
          <w:sz w:val="16"/>
          <w:szCs w:val="16"/>
        </w:rPr>
        <w:t>projects.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11,24]</w:t>
      </w:r>
    </w:p>
    <w:p w14:paraId="00000049" w14:textId="77777777" w:rsidR="002C014C" w:rsidRDefault="002C014C">
      <w:pPr>
        <w:spacing w:after="120"/>
        <w:rPr>
          <w:rFonts w:ascii="Inter" w:eastAsia="Inter" w:hAnsi="Inter" w:cs="Inter"/>
          <w:sz w:val="16"/>
          <w:szCs w:val="16"/>
        </w:rPr>
      </w:pPr>
    </w:p>
    <w:p w14:paraId="0000004A" w14:textId="77777777" w:rsidR="002C014C" w:rsidRDefault="00000000">
      <w:pPr>
        <w:pStyle w:val="Heading1"/>
        <w:rPr>
          <w:rFonts w:ascii="Inter" w:eastAsia="Inter" w:hAnsi="Inter" w:cs="Inter"/>
          <w:sz w:val="20"/>
          <w:szCs w:val="20"/>
        </w:rPr>
      </w:pPr>
      <w:r>
        <w:rPr>
          <w:rFonts w:ascii="Inter" w:eastAsia="Inter" w:hAnsi="Inter" w:cs="Inter"/>
          <w:sz w:val="20"/>
          <w:szCs w:val="20"/>
        </w:rPr>
        <w:t>2. Process for Obtaining the Benefits</w:t>
      </w:r>
    </w:p>
    <w:p w14:paraId="0000004B" w14:textId="77777777" w:rsidR="002C014C" w:rsidRDefault="00000000">
      <w:pPr>
        <w:pStyle w:val="Heading2"/>
        <w:rPr>
          <w:rFonts w:ascii="Inter" w:eastAsia="Inter" w:hAnsi="Inter" w:cs="Inter"/>
          <w:sz w:val="18"/>
          <w:szCs w:val="18"/>
        </w:rPr>
      </w:pPr>
      <w:r>
        <w:rPr>
          <w:rFonts w:ascii="Inter" w:eastAsia="Inter" w:hAnsi="Inter" w:cs="Inter"/>
          <w:sz w:val="18"/>
          <w:szCs w:val="18"/>
        </w:rPr>
        <w:t>2.1 Section 48E ITC and 45Y PTC — Self-Certification</w:t>
      </w:r>
    </w:p>
    <w:p w14:paraId="0000004C"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base ITC, domestic content adder, and energy community adder are claimed by the taxpayer on the federal tax return (or via Direct Pay election) — they do not require a competitive application. The process </w:t>
      </w:r>
      <w:proofErr w:type="gramStart"/>
      <w:r>
        <w:rPr>
          <w:rFonts w:ascii="Inter" w:eastAsia="Inter" w:hAnsi="Inter" w:cs="Inter"/>
          <w:sz w:val="16"/>
          <w:szCs w:val="16"/>
        </w:rPr>
        <w:t>is: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5,18,49]</w:t>
      </w:r>
    </w:p>
    <w:p w14:paraId="0000004D"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Confirm facility eligibility: zero-GHG emissions rate, placed in service after Dec 31, 2024, begins construction before the relevant deadline.</w:t>
      </w:r>
    </w:p>
    <w:p w14:paraId="0000004E"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Begin construction: establish "begin construction" date using either (a) physical work of significant nature, or (b) the 5% safe </w:t>
      </w:r>
      <w:proofErr w:type="spellStart"/>
      <w:r>
        <w:rPr>
          <w:rFonts w:ascii="Inter" w:eastAsia="Inter" w:hAnsi="Inter" w:cs="Inter"/>
          <w:color w:val="000000"/>
          <w:sz w:val="16"/>
          <w:szCs w:val="16"/>
        </w:rPr>
        <w:t>harbor</w:t>
      </w:r>
      <w:proofErr w:type="spellEnd"/>
      <w:r>
        <w:rPr>
          <w:rFonts w:ascii="Inter" w:eastAsia="Inter" w:hAnsi="Inter" w:cs="Inter"/>
          <w:color w:val="000000"/>
          <w:sz w:val="16"/>
          <w:szCs w:val="16"/>
        </w:rPr>
        <w:t xml:space="preserve"> (incurring 5% or more of total project cost). Document with engineering plans, executed binding contracts, photographs.</w:t>
      </w:r>
    </w:p>
    <w:p w14:paraId="0000004F"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Plan to meet PWA: implement prevailing wage payments and registered apprenticeship hours throughout construction and the alteration/repair window.</w:t>
      </w:r>
    </w:p>
    <w:p w14:paraId="00000050"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Document domestic content: collect supplier certifications for steel, iron, and manufactured products. Track the manufactured product cost percentage.</w:t>
      </w:r>
    </w:p>
    <w:p w14:paraId="00000051"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Document energy community status: secure brownfield assessment, coal-closure census tract evidence, or statistical-area employment/tax data — depending on which safe </w:t>
      </w:r>
      <w:proofErr w:type="spellStart"/>
      <w:r>
        <w:rPr>
          <w:rFonts w:ascii="Inter" w:eastAsia="Inter" w:hAnsi="Inter" w:cs="Inter"/>
          <w:color w:val="000000"/>
          <w:sz w:val="16"/>
          <w:szCs w:val="16"/>
        </w:rPr>
        <w:t>harbor</w:t>
      </w:r>
      <w:proofErr w:type="spellEnd"/>
      <w:r>
        <w:rPr>
          <w:rFonts w:ascii="Inter" w:eastAsia="Inter" w:hAnsi="Inter" w:cs="Inter"/>
          <w:color w:val="000000"/>
          <w:sz w:val="16"/>
          <w:szCs w:val="16"/>
        </w:rPr>
        <w:t xml:space="preserve"> applies.</w:t>
      </w:r>
    </w:p>
    <w:p w14:paraId="00000052"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Pre-file registration via IRS Energy Credits Online (ECO) — required for Direct Pay or Transferability. Tribes must register the project and obtain a registration number before claiming the credit. Per IRS guidance, registration should be submitted at least 120 days before the intended tax return filing date to allow for processing.</w:t>
      </w:r>
      <w:r>
        <w:rPr>
          <w:rFonts w:ascii="Inter" w:eastAsia="Inter" w:hAnsi="Inter" w:cs="Inter"/>
          <w:color w:val="0563C1"/>
          <w:sz w:val="16"/>
          <w:szCs w:val="16"/>
          <w:vertAlign w:val="superscript"/>
        </w:rPr>
        <w:t>[56]</w:t>
      </w:r>
    </w:p>
    <w:p w14:paraId="00000053" w14:textId="77777777" w:rsidR="002C014C" w:rsidRDefault="00000000">
      <w:pPr>
        <w:numPr>
          <w:ilvl w:val="0"/>
          <w:numId w:val="2"/>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Place in service: facility must be capable of generating electricity for its intended purpose.</w:t>
      </w:r>
    </w:p>
    <w:p w14:paraId="00000054" w14:textId="77777777" w:rsidR="002C014C" w:rsidRDefault="00000000">
      <w:pPr>
        <w:numPr>
          <w:ilvl w:val="0"/>
          <w:numId w:val="2"/>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6"/>
          <w:szCs w:val="16"/>
        </w:rPr>
        <w:t>File Form 3468 (ITC) or Form 8835 (PTC) with the federal tax return (or Form 990-T with the §6417 elective payment election for tax-exempt Tribes</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5,8,49</w:t>
      </w:r>
      <w:r>
        <w:rPr>
          <w:rFonts w:ascii="Inter" w:eastAsia="Inter" w:hAnsi="Inter" w:cs="Inter"/>
          <w:color w:val="0563C1"/>
          <w:sz w:val="14"/>
          <w:szCs w:val="14"/>
          <w:vertAlign w:val="superscript"/>
        </w:rPr>
        <w:t>]</w:t>
      </w:r>
    </w:p>
    <w:p w14:paraId="00000055" w14:textId="77777777" w:rsidR="002C014C" w:rsidRDefault="00000000">
      <w:pPr>
        <w:pStyle w:val="Heading2"/>
        <w:rPr>
          <w:rFonts w:ascii="Inter" w:eastAsia="Inter" w:hAnsi="Inter" w:cs="Inter"/>
          <w:sz w:val="18"/>
          <w:szCs w:val="18"/>
        </w:rPr>
      </w:pPr>
      <w:r>
        <w:rPr>
          <w:rFonts w:ascii="Inter" w:eastAsia="Inter" w:hAnsi="Inter" w:cs="Inter"/>
          <w:sz w:val="18"/>
          <w:szCs w:val="18"/>
        </w:rPr>
        <w:t>2.2 Section 48E(h) Indian Land Bonus — Competitive Application (Microreactors Only)</w:t>
      </w:r>
    </w:p>
    <w:p w14:paraId="00000056"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+10% Indian Land bonus under §48E(h) requires a competitive application through the IRS Energy Credits Online portal, with DOE supporting the technical review. The 1.8 GW annual capacity limitation is divided among four </w:t>
      </w:r>
      <w:proofErr w:type="gramStart"/>
      <w:r>
        <w:rPr>
          <w:rFonts w:ascii="Inter" w:eastAsia="Inter" w:hAnsi="Inter" w:cs="Inter"/>
          <w:sz w:val="16"/>
          <w:szCs w:val="16"/>
        </w:rPr>
        <w:t>categories: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2,3,6,7]</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80"/>
        <w:gridCol w:w="2340"/>
        <w:gridCol w:w="2340"/>
      </w:tblGrid>
      <w:tr w:rsidR="002C014C" w14:paraId="731F90D0"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57" w14:textId="77777777" w:rsidR="002C014C" w:rsidRDefault="00000000">
            <w:pPr>
              <w:rPr>
                <w:rFonts w:ascii="Inter" w:eastAsia="Inter" w:hAnsi="Inter" w:cs="Inter"/>
                <w:sz w:val="16"/>
                <w:szCs w:val="16"/>
              </w:rPr>
            </w:pPr>
            <w:r>
              <w:rPr>
                <w:rFonts w:ascii="Inter" w:eastAsia="Inter" w:hAnsi="Inter" w:cs="Inter"/>
                <w:b/>
                <w:bCs/>
                <w:color w:val="FFFFFF"/>
                <w:sz w:val="16"/>
                <w:szCs w:val="16"/>
              </w:rPr>
              <w:t>Category</w:t>
            </w:r>
          </w:p>
        </w:tc>
        <w:tc>
          <w:tcPr>
            <w:tcW w:w="234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58" w14:textId="77777777" w:rsidR="002C014C" w:rsidRDefault="00000000">
            <w:pPr>
              <w:rPr>
                <w:rFonts w:ascii="Inter" w:eastAsia="Inter" w:hAnsi="Inter" w:cs="Inter"/>
                <w:sz w:val="16"/>
                <w:szCs w:val="16"/>
              </w:rPr>
            </w:pPr>
            <w:r>
              <w:rPr>
                <w:rFonts w:ascii="Inter" w:eastAsia="Inter" w:hAnsi="Inter" w:cs="Inter"/>
                <w:b/>
                <w:bCs/>
                <w:color w:val="FFFFFF"/>
                <w:sz w:val="16"/>
                <w:szCs w:val="16"/>
              </w:rPr>
              <w:t>2026 Capacity</w:t>
            </w:r>
          </w:p>
        </w:tc>
        <w:tc>
          <w:tcPr>
            <w:tcW w:w="234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59" w14:textId="77777777" w:rsidR="002C014C" w:rsidRDefault="00000000">
            <w:pPr>
              <w:rPr>
                <w:rFonts w:ascii="Inter" w:eastAsia="Inter" w:hAnsi="Inter" w:cs="Inter"/>
                <w:sz w:val="16"/>
                <w:szCs w:val="16"/>
              </w:rPr>
            </w:pPr>
            <w:r>
              <w:rPr>
                <w:rFonts w:ascii="Inter" w:eastAsia="Inter" w:hAnsi="Inter" w:cs="Inter"/>
                <w:b/>
                <w:bCs/>
                <w:color w:val="FFFFFF"/>
                <w:sz w:val="16"/>
                <w:szCs w:val="16"/>
              </w:rPr>
              <w:t>Bonus</w:t>
            </w:r>
          </w:p>
        </w:tc>
      </w:tr>
      <w:tr w:rsidR="002C014C" w14:paraId="1D0368BC"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5A" w14:textId="77777777" w:rsidR="002C014C" w:rsidRDefault="00000000">
            <w:pPr>
              <w:rPr>
                <w:rFonts w:ascii="Inter" w:eastAsia="Inter" w:hAnsi="Inter" w:cs="Inter"/>
                <w:sz w:val="16"/>
                <w:szCs w:val="16"/>
              </w:rPr>
            </w:pPr>
            <w:r>
              <w:rPr>
                <w:rFonts w:ascii="Inter" w:eastAsia="Inter" w:hAnsi="Inter" w:cs="Inter"/>
                <w:sz w:val="16"/>
                <w:szCs w:val="16"/>
              </w:rPr>
              <w:t>Cat. 1 — Located in Low-Income Community</w:t>
            </w:r>
          </w:p>
        </w:tc>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5B" w14:textId="77777777" w:rsidR="002C014C" w:rsidRDefault="00000000">
            <w:pPr>
              <w:rPr>
                <w:rFonts w:ascii="Inter" w:eastAsia="Inter" w:hAnsi="Inter" w:cs="Inter"/>
                <w:sz w:val="16"/>
                <w:szCs w:val="16"/>
              </w:rPr>
            </w:pPr>
            <w:r>
              <w:rPr>
                <w:rFonts w:ascii="Inter" w:eastAsia="Inter" w:hAnsi="Inter" w:cs="Inter"/>
                <w:sz w:val="16"/>
                <w:szCs w:val="16"/>
              </w:rPr>
              <w:t xml:space="preserve">600 </w:t>
            </w:r>
            <w:proofErr w:type="gramStart"/>
            <w:r>
              <w:rPr>
                <w:rFonts w:ascii="Inter" w:eastAsia="Inter" w:hAnsi="Inter" w:cs="Inter"/>
                <w:sz w:val="16"/>
                <w:szCs w:val="16"/>
              </w:rPr>
              <w:t>MW</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2,3,6,7]</w:t>
            </w:r>
          </w:p>
        </w:tc>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5C" w14:textId="77777777" w:rsidR="002C014C" w:rsidRDefault="00000000">
            <w:pPr>
              <w:rPr>
                <w:rFonts w:ascii="Inter" w:eastAsia="Inter" w:hAnsi="Inter" w:cs="Inter"/>
                <w:sz w:val="16"/>
                <w:szCs w:val="16"/>
              </w:rPr>
            </w:pPr>
            <w:r>
              <w:rPr>
                <w:rFonts w:ascii="Inter" w:eastAsia="Inter" w:hAnsi="Inter" w:cs="Inter"/>
                <w:sz w:val="16"/>
                <w:szCs w:val="16"/>
              </w:rPr>
              <w:t>+10 pp</w:t>
            </w:r>
          </w:p>
        </w:tc>
      </w:tr>
      <w:tr w:rsidR="002C014C" w14:paraId="26D5C0CD"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5D" w14:textId="77777777" w:rsidR="002C014C" w:rsidRDefault="00000000">
            <w:pPr>
              <w:rPr>
                <w:rFonts w:ascii="Inter" w:eastAsia="Inter" w:hAnsi="Inter" w:cs="Inter"/>
                <w:sz w:val="16"/>
                <w:szCs w:val="16"/>
              </w:rPr>
            </w:pPr>
            <w:r>
              <w:rPr>
                <w:rFonts w:ascii="Inter" w:eastAsia="Inter" w:hAnsi="Inter" w:cs="Inter"/>
                <w:sz w:val="16"/>
                <w:szCs w:val="16"/>
              </w:rPr>
              <w:t>Cat. 2 — Located on Indian Land</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5E" w14:textId="77777777" w:rsidR="002C014C" w:rsidRDefault="00000000">
            <w:pPr>
              <w:rPr>
                <w:rFonts w:ascii="Inter" w:eastAsia="Inter" w:hAnsi="Inter" w:cs="Inter"/>
                <w:sz w:val="16"/>
                <w:szCs w:val="16"/>
              </w:rPr>
            </w:pPr>
            <w:r>
              <w:rPr>
                <w:rFonts w:ascii="Inter" w:eastAsia="Inter" w:hAnsi="Inter" w:cs="Inter"/>
                <w:sz w:val="16"/>
                <w:szCs w:val="16"/>
              </w:rPr>
              <w:t>200 MW</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5F" w14:textId="77777777" w:rsidR="002C014C" w:rsidRDefault="00000000">
            <w:pPr>
              <w:rPr>
                <w:rFonts w:ascii="Inter" w:eastAsia="Inter" w:hAnsi="Inter" w:cs="Inter"/>
                <w:sz w:val="16"/>
                <w:szCs w:val="16"/>
              </w:rPr>
            </w:pPr>
            <w:r>
              <w:rPr>
                <w:rFonts w:ascii="Inter" w:eastAsia="Inter" w:hAnsi="Inter" w:cs="Inter"/>
                <w:sz w:val="16"/>
                <w:szCs w:val="16"/>
              </w:rPr>
              <w:t>+10 pp</w:t>
            </w:r>
          </w:p>
        </w:tc>
      </w:tr>
      <w:tr w:rsidR="002C014C" w14:paraId="71523D67" w14:textId="77777777">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60" w14:textId="77777777" w:rsidR="002C014C" w:rsidRDefault="00000000">
            <w:pPr>
              <w:rPr>
                <w:rFonts w:ascii="Inter" w:eastAsia="Inter" w:hAnsi="Inter" w:cs="Inter"/>
                <w:sz w:val="16"/>
                <w:szCs w:val="16"/>
              </w:rPr>
            </w:pPr>
            <w:r>
              <w:rPr>
                <w:rFonts w:ascii="Inter" w:eastAsia="Inter" w:hAnsi="Inter" w:cs="Inter"/>
                <w:sz w:val="16"/>
                <w:szCs w:val="16"/>
              </w:rPr>
              <w:t>Cat. 3 — Qualified Low-Income Residential Building</w:t>
            </w:r>
          </w:p>
        </w:tc>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61" w14:textId="77777777" w:rsidR="002C014C" w:rsidRDefault="00000000">
            <w:pPr>
              <w:rPr>
                <w:rFonts w:ascii="Inter" w:eastAsia="Inter" w:hAnsi="Inter" w:cs="Inter"/>
                <w:sz w:val="16"/>
                <w:szCs w:val="16"/>
              </w:rPr>
            </w:pPr>
            <w:r>
              <w:rPr>
                <w:rFonts w:ascii="Inter" w:eastAsia="Inter" w:hAnsi="Inter" w:cs="Inter"/>
                <w:sz w:val="16"/>
                <w:szCs w:val="16"/>
              </w:rPr>
              <w:t xml:space="preserve">200 </w:t>
            </w:r>
            <w:proofErr w:type="gramStart"/>
            <w:r>
              <w:rPr>
                <w:rFonts w:ascii="Inter" w:eastAsia="Inter" w:hAnsi="Inter" w:cs="Inter"/>
                <w:sz w:val="16"/>
                <w:szCs w:val="16"/>
              </w:rPr>
              <w:t>MW</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w:t>
            </w:r>
          </w:p>
        </w:tc>
        <w:tc>
          <w:tcPr>
            <w:tcW w:w="234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62" w14:textId="77777777" w:rsidR="002C014C" w:rsidRDefault="00000000">
            <w:pPr>
              <w:rPr>
                <w:rFonts w:ascii="Inter" w:eastAsia="Inter" w:hAnsi="Inter" w:cs="Inter"/>
                <w:sz w:val="16"/>
                <w:szCs w:val="16"/>
              </w:rPr>
            </w:pPr>
            <w:r>
              <w:rPr>
                <w:rFonts w:ascii="Inter" w:eastAsia="Inter" w:hAnsi="Inter" w:cs="Inter"/>
                <w:sz w:val="16"/>
                <w:szCs w:val="16"/>
              </w:rPr>
              <w:t>+20 pp</w:t>
            </w:r>
          </w:p>
        </w:tc>
      </w:tr>
      <w:tr w:rsidR="002C014C" w14:paraId="7B0A9CD0"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63" w14:textId="77777777" w:rsidR="002C014C" w:rsidRDefault="00000000">
            <w:pPr>
              <w:rPr>
                <w:rFonts w:ascii="Inter" w:eastAsia="Inter" w:hAnsi="Inter" w:cs="Inter"/>
                <w:sz w:val="16"/>
                <w:szCs w:val="16"/>
              </w:rPr>
            </w:pPr>
            <w:r>
              <w:rPr>
                <w:rFonts w:ascii="Inter" w:eastAsia="Inter" w:hAnsi="Inter" w:cs="Inter"/>
                <w:sz w:val="16"/>
                <w:szCs w:val="16"/>
              </w:rPr>
              <w:t>Cat. 4 — Qualified Low-Income Economic Benefit</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64" w14:textId="77777777" w:rsidR="002C014C" w:rsidRDefault="00000000">
            <w:pPr>
              <w:rPr>
                <w:rFonts w:ascii="Inter" w:eastAsia="Inter" w:hAnsi="Inter" w:cs="Inter"/>
                <w:sz w:val="16"/>
                <w:szCs w:val="16"/>
              </w:rPr>
            </w:pPr>
            <w:r>
              <w:rPr>
                <w:rFonts w:ascii="Inter" w:eastAsia="Inter" w:hAnsi="Inter" w:cs="Inter"/>
                <w:sz w:val="16"/>
                <w:szCs w:val="16"/>
              </w:rPr>
              <w:t xml:space="preserve">800 </w:t>
            </w:r>
            <w:proofErr w:type="gramStart"/>
            <w:r>
              <w:rPr>
                <w:rFonts w:ascii="Inter" w:eastAsia="Inter" w:hAnsi="Inter" w:cs="Inter"/>
                <w:sz w:val="16"/>
                <w:szCs w:val="16"/>
              </w:rPr>
              <w:t>MW</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w:t>
            </w:r>
          </w:p>
        </w:tc>
        <w:tc>
          <w:tcPr>
            <w:tcW w:w="234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65" w14:textId="77777777" w:rsidR="002C014C" w:rsidRDefault="00000000">
            <w:pPr>
              <w:rPr>
                <w:rFonts w:ascii="Inter" w:eastAsia="Inter" w:hAnsi="Inter" w:cs="Inter"/>
                <w:sz w:val="16"/>
                <w:szCs w:val="16"/>
              </w:rPr>
            </w:pPr>
            <w:r>
              <w:rPr>
                <w:rFonts w:ascii="Inter" w:eastAsia="Inter" w:hAnsi="Inter" w:cs="Inter"/>
                <w:sz w:val="16"/>
                <w:szCs w:val="16"/>
              </w:rPr>
              <w:t>+20 pp</w:t>
            </w:r>
          </w:p>
        </w:tc>
      </w:tr>
    </w:tbl>
    <w:p w14:paraId="00000066" w14:textId="77777777" w:rsidR="002C014C" w:rsidRDefault="00000000">
      <w:pPr>
        <w:spacing w:after="120"/>
        <w:rPr>
          <w:rFonts w:ascii="Inter" w:eastAsia="Inter" w:hAnsi="Inter" w:cs="Inter"/>
          <w:sz w:val="16"/>
          <w:szCs w:val="16"/>
        </w:rPr>
      </w:pPr>
      <w:r>
        <w:rPr>
          <w:rFonts w:ascii="Inter" w:eastAsia="Inter" w:hAnsi="Inter" w:cs="Inter"/>
          <w:sz w:val="16"/>
          <w:szCs w:val="16"/>
        </w:rPr>
        <w:t>Application steps:</w:t>
      </w:r>
    </w:p>
    <w:p w14:paraId="00000067"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Confirm size eligibility: facility must have net output under 5 MW (microreactor scale).</w:t>
      </w:r>
    </w:p>
    <w:p w14:paraId="00000068"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Establish project maturity documentation: site control, interconnection application or executed agreement, permitting in process. For projects on Tribal land, Tribal resolutions or Notice to Proceed from the Tribal governing authority are accepted in lieu of typical </w:t>
      </w:r>
      <w:proofErr w:type="gramStart"/>
      <w:r>
        <w:rPr>
          <w:rFonts w:ascii="Inter" w:eastAsia="Inter" w:hAnsi="Inter" w:cs="Inter"/>
          <w:color w:val="000000"/>
          <w:sz w:val="16"/>
          <w:szCs w:val="16"/>
        </w:rPr>
        <w:t>PPAs.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7,8]</w:t>
      </w:r>
    </w:p>
    <w:p w14:paraId="00000069"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Create Login.gov account and register at the IRS Energy Credits Online portal.</w:t>
      </w:r>
    </w:p>
    <w:p w14:paraId="0000006A"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Submit application during the 2026 program window: opens Feb 2, 2026, 9:00 a.m. ET; closes Aug 7, 2026, 11:59 p.m. </w:t>
      </w:r>
      <w:proofErr w:type="gramStart"/>
      <w:r>
        <w:rPr>
          <w:rFonts w:ascii="Inter" w:eastAsia="Inter" w:hAnsi="Inter" w:cs="Inter"/>
          <w:color w:val="000000"/>
          <w:sz w:val="16"/>
          <w:szCs w:val="16"/>
        </w:rPr>
        <w:t>ET.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3,6,7]</w:t>
      </w:r>
    </w:p>
    <w:p w14:paraId="0000006B"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lastRenderedPageBreak/>
        <w:t>First-30-day randomization: applications received in the initial 30 days are treated as submitted simultaneously and randomized within the relevant category.</w:t>
      </w:r>
    </w:p>
    <w:p w14:paraId="0000006C"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Receive allocation letter from DOE/IRS (typically within 60 days of submission).</w:t>
      </w:r>
    </w:p>
    <w:p w14:paraId="0000006D"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Place facility in service within 4 years of allocation (extendable in limited circumstances</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3,6,7]</w:t>
      </w:r>
    </w:p>
    <w:p w14:paraId="0000006E" w14:textId="77777777" w:rsidR="002C014C" w:rsidRDefault="00000000">
      <w:pPr>
        <w:numPr>
          <w:ilvl w:val="0"/>
          <w:numId w:val="3"/>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Report placed-in-service to IRS to claim the bonus on the tax return.</w:t>
      </w:r>
    </w:p>
    <w:p w14:paraId="0000006F" w14:textId="77777777" w:rsidR="002C014C" w:rsidRDefault="00000000">
      <w:pPr>
        <w:pStyle w:val="Heading2"/>
        <w:rPr>
          <w:rFonts w:ascii="Inter" w:eastAsia="Inter" w:hAnsi="Inter" w:cs="Inter"/>
          <w:sz w:val="18"/>
          <w:szCs w:val="18"/>
        </w:rPr>
      </w:pPr>
      <w:r>
        <w:rPr>
          <w:rFonts w:ascii="Inter" w:eastAsia="Inter" w:hAnsi="Inter" w:cs="Inter"/>
          <w:sz w:val="18"/>
          <w:szCs w:val="18"/>
        </w:rPr>
        <w:t>2.3 DOE TEFP Loan Guarantee — Application Process</w:t>
      </w:r>
    </w:p>
    <w:p w14:paraId="00000070" w14:textId="77777777" w:rsidR="002C014C" w:rsidRDefault="00000000">
      <w:pPr>
        <w:spacing w:after="120"/>
        <w:rPr>
          <w:rFonts w:ascii="Inter" w:eastAsia="Inter" w:hAnsi="Inter" w:cs="Inter"/>
          <w:sz w:val="16"/>
          <w:szCs w:val="16"/>
        </w:rPr>
      </w:pPr>
      <w:r>
        <w:rPr>
          <w:rFonts w:ascii="Inter" w:eastAsia="Inter" w:hAnsi="Inter" w:cs="Inter"/>
          <w:sz w:val="16"/>
          <w:szCs w:val="16"/>
        </w:rPr>
        <w:t>TEFP applications are submitted to the DOE Loan Programs Office. The process is multi-stage:</w:t>
      </w:r>
      <w:r>
        <w:rPr>
          <w:rFonts w:ascii="Inter" w:eastAsia="Inter" w:hAnsi="Inter" w:cs="Inter"/>
          <w:color w:val="0563C1"/>
          <w:sz w:val="16"/>
          <w:szCs w:val="16"/>
          <w:vertAlign w:val="superscript"/>
        </w:rPr>
        <w:t>[14]</w:t>
      </w:r>
    </w:p>
    <w:p w14:paraId="00000071"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Pre-application engagement: meet with LPO Outreach and Business Development team to discuss project scope, financing structure, and Tribal involvement.</w:t>
      </w:r>
      <w:r>
        <w:rPr>
          <w:rFonts w:ascii="Inter" w:eastAsia="Inter" w:hAnsi="Inter" w:cs="Inter"/>
          <w:color w:val="0563C1"/>
          <w:sz w:val="16"/>
          <w:szCs w:val="16"/>
          <w:vertAlign w:val="superscript"/>
        </w:rPr>
        <w:t>[14]</w:t>
      </w:r>
    </w:p>
    <w:p w14:paraId="00000072"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Part I application: project summary, eligibility documentation, technical and financial overview. LPO issues a Part I invitation if the project is a candidate.</w:t>
      </w:r>
    </w:p>
    <w:p w14:paraId="00000073"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Part II application: detailed technical, financial, environmental, and legal due diligence package; credit underwriting begins.</w:t>
      </w:r>
    </w:p>
    <w:p w14:paraId="00000074"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Conditional commitment: LPO and DOE issue a conditional commitment letter, subject to satisfaction of conditions precedent.</w:t>
      </w:r>
    </w:p>
    <w:p w14:paraId="00000075"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Financial close: documentation, NEPA compliance, and loan agreement execution.</w:t>
      </w:r>
    </w:p>
    <w:p w14:paraId="00000076" w14:textId="77777777" w:rsidR="002C014C" w:rsidRDefault="00000000">
      <w:pPr>
        <w:numPr>
          <w:ilvl w:val="0"/>
          <w:numId w:val="4"/>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Per the Sep 2025 GAO report, the median time-in-process from application to closing has historically been multi-year; potential applicants should plan accordingly.</w:t>
      </w:r>
      <w:r>
        <w:rPr>
          <w:rFonts w:ascii="Inter" w:eastAsia="Inter" w:hAnsi="Inter" w:cs="Inter"/>
          <w:color w:val="0563C1"/>
          <w:sz w:val="16"/>
          <w:szCs w:val="16"/>
          <w:vertAlign w:val="superscript"/>
        </w:rPr>
        <w:t>[25]</w:t>
      </w:r>
    </w:p>
    <w:p w14:paraId="00000077" w14:textId="77777777" w:rsidR="002C014C" w:rsidRDefault="00000000">
      <w:pPr>
        <w:pStyle w:val="Heading2"/>
        <w:rPr>
          <w:rFonts w:ascii="Inter" w:eastAsia="Inter" w:hAnsi="Inter" w:cs="Inter"/>
          <w:sz w:val="18"/>
          <w:szCs w:val="18"/>
        </w:rPr>
      </w:pPr>
      <w:r>
        <w:rPr>
          <w:rFonts w:ascii="Inter" w:eastAsia="Inter" w:hAnsi="Inter" w:cs="Inter"/>
          <w:sz w:val="18"/>
          <w:szCs w:val="18"/>
        </w:rPr>
        <w:t>2.4 DOE Office of Indian Energy Grants</w:t>
      </w:r>
    </w:p>
    <w:p w14:paraId="00000078" w14:textId="77777777" w:rsidR="002C014C" w:rsidRDefault="00000000">
      <w:pPr>
        <w:spacing w:after="120"/>
        <w:rPr>
          <w:rFonts w:ascii="Inter" w:eastAsia="Inter" w:hAnsi="Inter" w:cs="Inter"/>
          <w:color w:val="0563C1"/>
          <w:sz w:val="16"/>
          <w:szCs w:val="16"/>
          <w:vertAlign w:val="superscript"/>
        </w:rPr>
      </w:pPr>
      <w:r>
        <w:rPr>
          <w:rFonts w:ascii="Inter" w:eastAsia="Inter" w:hAnsi="Inter" w:cs="Inter"/>
          <w:sz w:val="16"/>
          <w:szCs w:val="16"/>
        </w:rPr>
        <w:t>Grants are awarded through Notice of Funding Opportunity (NOFO) cycles via the DOE IE-Exchange portal. Applications are typically due about 90 days after NOFO release. Cost share is set per NOFO. Under the current 2026 NOFO, TA1 requires 10% non-federal cost share; TA2 and TA3 require none. Historically the statutory default was 50%, reducible to 10% per Section 8013 of the Energy Act of 2020.</w:t>
      </w:r>
      <w:proofErr w:type="gramStart"/>
      <w:r>
        <w:rPr>
          <w:rFonts w:ascii="Inter" w:eastAsia="Inter" w:hAnsi="Inter" w:cs="Inter"/>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12,24]</w:t>
      </w:r>
    </w:p>
    <w:p w14:paraId="00000079" w14:textId="77777777" w:rsidR="002C014C" w:rsidRDefault="002C014C">
      <w:pPr>
        <w:spacing w:after="120"/>
        <w:rPr>
          <w:rFonts w:ascii="Inter" w:eastAsia="Inter" w:hAnsi="Inter" w:cs="Inter"/>
          <w:color w:val="0563C1"/>
          <w:sz w:val="14"/>
          <w:szCs w:val="14"/>
          <w:vertAlign w:val="superscript"/>
        </w:rPr>
      </w:pPr>
    </w:p>
    <w:p w14:paraId="0000007A" w14:textId="77777777" w:rsidR="002C014C" w:rsidRDefault="00000000">
      <w:pPr>
        <w:pStyle w:val="Heading1"/>
        <w:rPr>
          <w:rFonts w:ascii="Inter" w:eastAsia="Inter" w:hAnsi="Inter" w:cs="Inter"/>
          <w:sz w:val="20"/>
          <w:szCs w:val="20"/>
        </w:rPr>
      </w:pPr>
      <w:r>
        <w:rPr>
          <w:rFonts w:ascii="Inter" w:eastAsia="Inter" w:hAnsi="Inter" w:cs="Inter"/>
          <w:sz w:val="20"/>
          <w:szCs w:val="20"/>
        </w:rPr>
        <w:t>3. Requirements, Deadlines, and Constraints</w:t>
      </w:r>
    </w:p>
    <w:p w14:paraId="0000007B" w14:textId="77777777" w:rsidR="002C014C" w:rsidRDefault="00000000">
      <w:pPr>
        <w:pStyle w:val="Heading2"/>
        <w:rPr>
          <w:rFonts w:ascii="Inter" w:eastAsia="Inter" w:hAnsi="Inter" w:cs="Inter"/>
          <w:sz w:val="18"/>
          <w:szCs w:val="18"/>
        </w:rPr>
      </w:pPr>
      <w:r>
        <w:rPr>
          <w:rFonts w:ascii="Inter" w:eastAsia="Inter" w:hAnsi="Inter" w:cs="Inter"/>
          <w:sz w:val="18"/>
          <w:szCs w:val="18"/>
        </w:rPr>
        <w:t>3.1 Statutory Begin-Construction Deadlines (post-OBBBA)</w:t>
      </w:r>
    </w:p>
    <w:tbl>
      <w:tblPr>
        <w:tblStyle w:val="a1"/>
        <w:tblW w:w="949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2080"/>
        <w:gridCol w:w="2080"/>
        <w:gridCol w:w="2213"/>
      </w:tblGrid>
      <w:tr w:rsidR="002C014C" w14:paraId="612ED644" w14:textId="77777777">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7C" w14:textId="77777777" w:rsidR="002C014C" w:rsidRDefault="00000000">
            <w:pPr>
              <w:rPr>
                <w:rFonts w:ascii="Inter" w:eastAsia="Inter" w:hAnsi="Inter" w:cs="Inter"/>
                <w:sz w:val="16"/>
                <w:szCs w:val="16"/>
              </w:rPr>
            </w:pPr>
            <w:r>
              <w:rPr>
                <w:rFonts w:ascii="Inter" w:eastAsia="Inter" w:hAnsi="Inter" w:cs="Inter"/>
                <w:b/>
                <w:bCs/>
                <w:color w:val="FFFFFF"/>
                <w:sz w:val="16"/>
                <w:szCs w:val="16"/>
              </w:rPr>
              <w:t>Begin-Construction Year</w:t>
            </w:r>
          </w:p>
        </w:tc>
        <w:tc>
          <w:tcPr>
            <w:tcW w:w="20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7D" w14:textId="77777777" w:rsidR="002C014C" w:rsidRDefault="00000000">
            <w:pPr>
              <w:rPr>
                <w:rFonts w:ascii="Inter" w:eastAsia="Inter" w:hAnsi="Inter" w:cs="Inter"/>
                <w:sz w:val="16"/>
                <w:szCs w:val="16"/>
              </w:rPr>
            </w:pPr>
            <w:r>
              <w:rPr>
                <w:rFonts w:ascii="Inter" w:eastAsia="Inter" w:hAnsi="Inter" w:cs="Inter"/>
                <w:b/>
                <w:bCs/>
                <w:color w:val="FFFFFF"/>
                <w:sz w:val="16"/>
                <w:szCs w:val="16"/>
              </w:rPr>
              <w:t>Nuclear ITC/PTC</w:t>
            </w:r>
          </w:p>
        </w:tc>
        <w:tc>
          <w:tcPr>
            <w:tcW w:w="2080"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7E" w14:textId="77777777" w:rsidR="002C014C" w:rsidRDefault="00000000">
            <w:pPr>
              <w:rPr>
                <w:rFonts w:ascii="Inter" w:eastAsia="Inter" w:hAnsi="Inter" w:cs="Inter"/>
                <w:sz w:val="16"/>
                <w:szCs w:val="16"/>
              </w:rPr>
            </w:pPr>
            <w:r>
              <w:rPr>
                <w:rFonts w:ascii="Inter" w:eastAsia="Inter" w:hAnsi="Inter" w:cs="Inter"/>
                <w:b/>
                <w:bCs/>
                <w:color w:val="FFFFFF"/>
                <w:sz w:val="16"/>
                <w:szCs w:val="16"/>
              </w:rPr>
              <w:t>Wind / Solar</w:t>
            </w:r>
          </w:p>
        </w:tc>
        <w:tc>
          <w:tcPr>
            <w:tcW w:w="2213" w:type="dxa"/>
            <w:tcBorders>
              <w:top w:val="single" w:sz="4" w:space="0" w:color="BFBFBF"/>
              <w:left w:val="single" w:sz="4" w:space="0" w:color="BFBFBF"/>
              <w:bottom w:val="single" w:sz="4" w:space="0" w:color="BFBFBF"/>
              <w:right w:val="single" w:sz="4" w:space="0" w:color="BFBFBF"/>
            </w:tcBorders>
            <w:shd w:val="clear" w:color="auto" w:fill="1F4E78"/>
            <w:tcMar>
              <w:top w:w="100" w:type="dxa"/>
              <w:left w:w="120" w:type="dxa"/>
              <w:bottom w:w="100" w:type="dxa"/>
              <w:right w:w="120" w:type="dxa"/>
            </w:tcMar>
          </w:tcPr>
          <w:p w14:paraId="0000007F" w14:textId="77777777" w:rsidR="002C014C" w:rsidRDefault="00000000">
            <w:pPr>
              <w:rPr>
                <w:rFonts w:ascii="Inter" w:eastAsia="Inter" w:hAnsi="Inter" w:cs="Inter"/>
                <w:sz w:val="16"/>
                <w:szCs w:val="16"/>
              </w:rPr>
            </w:pPr>
            <w:r>
              <w:rPr>
                <w:rFonts w:ascii="Inter" w:eastAsia="Inter" w:hAnsi="Inter" w:cs="Inter"/>
                <w:b/>
                <w:bCs/>
                <w:color w:val="FFFFFF"/>
                <w:sz w:val="16"/>
                <w:szCs w:val="16"/>
              </w:rPr>
              <w:t>Notes</w:t>
            </w:r>
          </w:p>
        </w:tc>
      </w:tr>
      <w:tr w:rsidR="002C014C" w14:paraId="5CDECE89"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0" w14:textId="77777777" w:rsidR="002C014C" w:rsidRDefault="00000000">
            <w:pPr>
              <w:rPr>
                <w:rFonts w:ascii="Inter" w:eastAsia="Inter" w:hAnsi="Inter" w:cs="Inter"/>
                <w:sz w:val="16"/>
                <w:szCs w:val="16"/>
              </w:rPr>
            </w:pPr>
            <w:r>
              <w:rPr>
                <w:rFonts w:ascii="Inter" w:eastAsia="Inter" w:hAnsi="Inter" w:cs="Inter"/>
                <w:sz w:val="16"/>
                <w:szCs w:val="16"/>
              </w:rPr>
              <w:t>Through 2033</w:t>
            </w:r>
            <w:r>
              <w:rPr>
                <w:rFonts w:ascii="Inter" w:eastAsia="Inter" w:hAnsi="Inter" w:cs="Inter"/>
                <w:color w:val="0563C1"/>
                <w:sz w:val="16"/>
                <w:szCs w:val="16"/>
                <w:vertAlign w:val="superscript"/>
              </w:rPr>
              <w:t>[41,43,44,45]</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1" w14:textId="77777777" w:rsidR="002C014C" w:rsidRDefault="00000000">
            <w:pPr>
              <w:rPr>
                <w:rFonts w:ascii="Inter" w:eastAsia="Inter" w:hAnsi="Inter" w:cs="Inter"/>
                <w:sz w:val="16"/>
                <w:szCs w:val="16"/>
              </w:rPr>
            </w:pPr>
            <w:r>
              <w:rPr>
                <w:rFonts w:ascii="Inter" w:eastAsia="Inter" w:hAnsi="Inter" w:cs="Inter"/>
                <w:sz w:val="16"/>
                <w:szCs w:val="16"/>
              </w:rPr>
              <w:t>100%</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2" w14:textId="77777777" w:rsidR="002C014C" w:rsidRDefault="00000000">
            <w:pPr>
              <w:rPr>
                <w:rFonts w:ascii="Inter" w:eastAsia="Inter" w:hAnsi="Inter" w:cs="Inter"/>
                <w:sz w:val="16"/>
                <w:szCs w:val="16"/>
              </w:rPr>
            </w:pPr>
            <w:r>
              <w:rPr>
                <w:rFonts w:ascii="Inter" w:eastAsia="Inter" w:hAnsi="Inter" w:cs="Inter"/>
                <w:sz w:val="16"/>
                <w:szCs w:val="16"/>
              </w:rPr>
              <w:t>Phased out earlier</w:t>
            </w:r>
          </w:p>
        </w:tc>
        <w:tc>
          <w:tcPr>
            <w:tcW w:w="22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3" w14:textId="77777777" w:rsidR="002C014C" w:rsidRDefault="00000000">
            <w:pPr>
              <w:rPr>
                <w:rFonts w:ascii="Inter" w:eastAsia="Inter" w:hAnsi="Inter" w:cs="Inter"/>
                <w:sz w:val="16"/>
                <w:szCs w:val="16"/>
              </w:rPr>
            </w:pPr>
            <w:r>
              <w:rPr>
                <w:rFonts w:ascii="Inter" w:eastAsia="Inter" w:hAnsi="Inter" w:cs="Inter"/>
                <w:sz w:val="16"/>
                <w:szCs w:val="16"/>
              </w:rPr>
              <w:t>Full credit value</w:t>
            </w:r>
          </w:p>
        </w:tc>
      </w:tr>
      <w:tr w:rsidR="002C014C" w14:paraId="6AA643D2"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4" w14:textId="77777777" w:rsidR="002C014C" w:rsidRDefault="00000000">
            <w:pPr>
              <w:rPr>
                <w:rFonts w:ascii="Inter" w:eastAsia="Inter" w:hAnsi="Inter" w:cs="Inter"/>
                <w:sz w:val="16"/>
                <w:szCs w:val="16"/>
              </w:rPr>
            </w:pPr>
            <w:r>
              <w:rPr>
                <w:rFonts w:ascii="Inter" w:eastAsia="Inter" w:hAnsi="Inter" w:cs="Inter"/>
                <w:sz w:val="16"/>
                <w:szCs w:val="16"/>
              </w:rPr>
              <w:t>2034</w:t>
            </w:r>
          </w:p>
        </w:tc>
        <w:tc>
          <w:tcPr>
            <w:tcW w:w="20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5" w14:textId="77777777" w:rsidR="002C014C" w:rsidRDefault="00000000">
            <w:pPr>
              <w:rPr>
                <w:rFonts w:ascii="Inter" w:eastAsia="Inter" w:hAnsi="Inter" w:cs="Inter"/>
                <w:sz w:val="16"/>
                <w:szCs w:val="16"/>
              </w:rPr>
            </w:pPr>
            <w:r>
              <w:rPr>
                <w:rFonts w:ascii="Inter" w:eastAsia="Inter" w:hAnsi="Inter" w:cs="Inter"/>
                <w:sz w:val="16"/>
                <w:szCs w:val="16"/>
              </w:rPr>
              <w:t>75%</w:t>
            </w:r>
          </w:p>
        </w:tc>
        <w:tc>
          <w:tcPr>
            <w:tcW w:w="20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6" w14:textId="77777777" w:rsidR="002C014C" w:rsidRDefault="00000000">
            <w:pPr>
              <w:rPr>
                <w:rFonts w:ascii="Inter" w:eastAsia="Inter" w:hAnsi="Inter" w:cs="Inter"/>
                <w:sz w:val="16"/>
                <w:szCs w:val="16"/>
              </w:rPr>
            </w:pPr>
            <w:r>
              <w:rPr>
                <w:rFonts w:ascii="Inter" w:eastAsia="Inter" w:hAnsi="Inter" w:cs="Inter"/>
                <w:sz w:val="16"/>
                <w:szCs w:val="16"/>
              </w:rPr>
              <w:t>0%</w:t>
            </w:r>
          </w:p>
        </w:tc>
        <w:tc>
          <w:tcPr>
            <w:tcW w:w="221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7" w14:textId="77777777" w:rsidR="002C014C" w:rsidRDefault="00000000">
            <w:pPr>
              <w:rPr>
                <w:rFonts w:ascii="Inter" w:eastAsia="Inter" w:hAnsi="Inter" w:cs="Inter"/>
                <w:sz w:val="16"/>
                <w:szCs w:val="16"/>
              </w:rPr>
            </w:pPr>
            <w:r>
              <w:rPr>
                <w:rFonts w:ascii="Inter" w:eastAsia="Inter" w:hAnsi="Inter" w:cs="Inter"/>
                <w:sz w:val="16"/>
                <w:szCs w:val="16"/>
              </w:rPr>
              <w:t>First phasedown step</w:t>
            </w:r>
          </w:p>
        </w:tc>
      </w:tr>
      <w:tr w:rsidR="002C014C" w14:paraId="0784B844" w14:textId="77777777">
        <w:tc>
          <w:tcPr>
            <w:tcW w:w="312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8" w14:textId="77777777" w:rsidR="002C014C" w:rsidRDefault="00000000">
            <w:pPr>
              <w:rPr>
                <w:rFonts w:ascii="Inter" w:eastAsia="Inter" w:hAnsi="Inter" w:cs="Inter"/>
                <w:sz w:val="16"/>
                <w:szCs w:val="16"/>
              </w:rPr>
            </w:pPr>
            <w:r>
              <w:rPr>
                <w:rFonts w:ascii="Inter" w:eastAsia="Inter" w:hAnsi="Inter" w:cs="Inter"/>
                <w:sz w:val="16"/>
                <w:szCs w:val="16"/>
              </w:rPr>
              <w:t>2035</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9" w14:textId="77777777" w:rsidR="002C014C" w:rsidRDefault="00000000">
            <w:pPr>
              <w:rPr>
                <w:rFonts w:ascii="Inter" w:eastAsia="Inter" w:hAnsi="Inter" w:cs="Inter"/>
                <w:sz w:val="16"/>
                <w:szCs w:val="16"/>
              </w:rPr>
            </w:pPr>
            <w:r>
              <w:rPr>
                <w:rFonts w:ascii="Inter" w:eastAsia="Inter" w:hAnsi="Inter" w:cs="Inter"/>
                <w:sz w:val="16"/>
                <w:szCs w:val="16"/>
              </w:rPr>
              <w:t>50%</w:t>
            </w:r>
          </w:p>
        </w:tc>
        <w:tc>
          <w:tcPr>
            <w:tcW w:w="2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A" w14:textId="77777777" w:rsidR="002C014C" w:rsidRDefault="00000000">
            <w:pPr>
              <w:rPr>
                <w:rFonts w:ascii="Inter" w:eastAsia="Inter" w:hAnsi="Inter" w:cs="Inter"/>
                <w:sz w:val="16"/>
                <w:szCs w:val="16"/>
              </w:rPr>
            </w:pPr>
            <w:r>
              <w:rPr>
                <w:rFonts w:ascii="Inter" w:eastAsia="Inter" w:hAnsi="Inter" w:cs="Inter"/>
                <w:sz w:val="16"/>
                <w:szCs w:val="16"/>
              </w:rPr>
              <w:t>0%</w:t>
            </w:r>
          </w:p>
        </w:tc>
        <w:tc>
          <w:tcPr>
            <w:tcW w:w="2213"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00008B" w14:textId="77777777" w:rsidR="002C014C" w:rsidRDefault="00000000">
            <w:pPr>
              <w:rPr>
                <w:rFonts w:ascii="Inter" w:eastAsia="Inter" w:hAnsi="Inter" w:cs="Inter"/>
                <w:sz w:val="16"/>
                <w:szCs w:val="16"/>
              </w:rPr>
            </w:pPr>
            <w:r>
              <w:rPr>
                <w:rFonts w:ascii="Inter" w:eastAsia="Inter" w:hAnsi="Inter" w:cs="Inter"/>
                <w:sz w:val="16"/>
                <w:szCs w:val="16"/>
              </w:rPr>
              <w:t>Second phasedown step</w:t>
            </w:r>
          </w:p>
        </w:tc>
      </w:tr>
      <w:tr w:rsidR="002C014C" w14:paraId="099DCE8A" w14:textId="77777777">
        <w:tc>
          <w:tcPr>
            <w:tcW w:w="312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C" w14:textId="77777777" w:rsidR="002C014C" w:rsidRDefault="00000000">
            <w:pPr>
              <w:rPr>
                <w:rFonts w:ascii="Inter" w:eastAsia="Inter" w:hAnsi="Inter" w:cs="Inter"/>
                <w:sz w:val="16"/>
                <w:szCs w:val="16"/>
              </w:rPr>
            </w:pPr>
            <w:r>
              <w:rPr>
                <w:rFonts w:ascii="Inter" w:eastAsia="Inter" w:hAnsi="Inter" w:cs="Inter"/>
                <w:sz w:val="16"/>
                <w:szCs w:val="16"/>
              </w:rPr>
              <w:t>2036</w:t>
            </w:r>
            <w:proofErr w:type="gramStart"/>
            <w:r>
              <w:rPr>
                <w:rFonts w:ascii="Inter" w:eastAsia="Inter" w:hAnsi="Inter" w:cs="Inter"/>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w:t>
            </w:r>
          </w:p>
        </w:tc>
        <w:tc>
          <w:tcPr>
            <w:tcW w:w="20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D" w14:textId="77777777" w:rsidR="002C014C" w:rsidRDefault="00000000">
            <w:pPr>
              <w:rPr>
                <w:rFonts w:ascii="Inter" w:eastAsia="Inter" w:hAnsi="Inter" w:cs="Inter"/>
                <w:sz w:val="16"/>
                <w:szCs w:val="16"/>
              </w:rPr>
            </w:pPr>
            <w:r>
              <w:rPr>
                <w:rFonts w:ascii="Inter" w:eastAsia="Inter" w:hAnsi="Inter" w:cs="Inter"/>
                <w:sz w:val="16"/>
                <w:szCs w:val="16"/>
              </w:rPr>
              <w:t>0%</w:t>
            </w:r>
          </w:p>
        </w:tc>
        <w:tc>
          <w:tcPr>
            <w:tcW w:w="208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E" w14:textId="77777777" w:rsidR="002C014C" w:rsidRDefault="00000000">
            <w:pPr>
              <w:rPr>
                <w:rFonts w:ascii="Inter" w:eastAsia="Inter" w:hAnsi="Inter" w:cs="Inter"/>
                <w:sz w:val="16"/>
                <w:szCs w:val="16"/>
              </w:rPr>
            </w:pPr>
            <w:r>
              <w:rPr>
                <w:rFonts w:ascii="Inter" w:eastAsia="Inter" w:hAnsi="Inter" w:cs="Inter"/>
                <w:sz w:val="16"/>
                <w:szCs w:val="16"/>
              </w:rPr>
              <w:t>0%</w:t>
            </w:r>
          </w:p>
        </w:tc>
        <w:tc>
          <w:tcPr>
            <w:tcW w:w="221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00008F" w14:textId="77777777" w:rsidR="002C014C" w:rsidRDefault="00000000">
            <w:pPr>
              <w:rPr>
                <w:rFonts w:ascii="Inter" w:eastAsia="Inter" w:hAnsi="Inter" w:cs="Inter"/>
                <w:sz w:val="16"/>
                <w:szCs w:val="16"/>
              </w:rPr>
            </w:pPr>
            <w:r>
              <w:rPr>
                <w:rFonts w:ascii="Inter" w:eastAsia="Inter" w:hAnsi="Inter" w:cs="Inter"/>
                <w:sz w:val="16"/>
                <w:szCs w:val="16"/>
              </w:rPr>
              <w:t>Credit terminated</w:t>
            </w:r>
          </w:p>
        </w:tc>
      </w:tr>
    </w:tbl>
    <w:p w14:paraId="00000090" w14:textId="77777777" w:rsidR="002C014C" w:rsidRDefault="00000000">
      <w:pPr>
        <w:pStyle w:val="Heading2"/>
        <w:rPr>
          <w:rFonts w:ascii="Inter" w:eastAsia="Inter" w:hAnsi="Inter" w:cs="Inter"/>
          <w:sz w:val="18"/>
          <w:szCs w:val="18"/>
        </w:rPr>
      </w:pPr>
      <w:r>
        <w:rPr>
          <w:rFonts w:ascii="Inter" w:eastAsia="Inter" w:hAnsi="Inter" w:cs="Inter"/>
          <w:sz w:val="18"/>
          <w:szCs w:val="18"/>
        </w:rPr>
        <w:t>3.2 Prevailing Wage &amp; Apprenticeship (PWA)</w:t>
      </w:r>
    </w:p>
    <w:p w14:paraId="00000091" w14:textId="77777777" w:rsidR="002C014C" w:rsidRDefault="00000000">
      <w:pPr>
        <w:spacing w:after="120"/>
        <w:rPr>
          <w:rFonts w:ascii="Inter" w:eastAsia="Inter" w:hAnsi="Inter" w:cs="Inter"/>
          <w:sz w:val="16"/>
          <w:szCs w:val="16"/>
        </w:rPr>
      </w:pPr>
      <w:r>
        <w:rPr>
          <w:rFonts w:ascii="Inter" w:eastAsia="Inter" w:hAnsi="Inter" w:cs="Inter"/>
          <w:sz w:val="16"/>
          <w:szCs w:val="16"/>
        </w:rPr>
        <w:t>Failure to meet PWA reduces the base 30% credit to 6%. Requirements:</w:t>
      </w:r>
      <w:r>
        <w:rPr>
          <w:rFonts w:ascii="Inter" w:eastAsia="Inter" w:hAnsi="Inter" w:cs="Inter"/>
          <w:color w:val="0563C1"/>
          <w:sz w:val="16"/>
          <w:szCs w:val="16"/>
          <w:vertAlign w:val="superscript"/>
        </w:rPr>
        <w:t>[19]</w:t>
      </w:r>
    </w:p>
    <w:p w14:paraId="00000092"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Prevailing wage: all </w:t>
      </w:r>
      <w:proofErr w:type="spellStart"/>
      <w:r>
        <w:rPr>
          <w:rFonts w:ascii="Inter" w:eastAsia="Inter" w:hAnsi="Inter" w:cs="Inter"/>
          <w:color w:val="000000"/>
          <w:sz w:val="16"/>
          <w:szCs w:val="16"/>
        </w:rPr>
        <w:t>laborers</w:t>
      </w:r>
      <w:proofErr w:type="spellEnd"/>
      <w:r>
        <w:rPr>
          <w:rFonts w:ascii="Inter" w:eastAsia="Inter" w:hAnsi="Inter" w:cs="Inter"/>
          <w:color w:val="000000"/>
          <w:sz w:val="16"/>
          <w:szCs w:val="16"/>
        </w:rPr>
        <w:t xml:space="preserve"> and mechanics employed by the taxpayer, contractors, and subcontractors must be paid Davis-Bacon prevailing wages during construction and during alteration/repair within the 5-year recapture period (10-year for PTC).</w:t>
      </w:r>
      <w:r>
        <w:rPr>
          <w:rFonts w:ascii="Inter" w:eastAsia="Inter" w:hAnsi="Inter" w:cs="Inter"/>
          <w:color w:val="0563C1"/>
          <w:sz w:val="16"/>
          <w:szCs w:val="16"/>
          <w:vertAlign w:val="superscript"/>
        </w:rPr>
        <w:t>[19]</w:t>
      </w:r>
    </w:p>
    <w:p w14:paraId="00000093"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Apprenticeship: a minimum percentage of total </w:t>
      </w:r>
      <w:proofErr w:type="spellStart"/>
      <w:r>
        <w:rPr>
          <w:rFonts w:ascii="Inter" w:eastAsia="Inter" w:hAnsi="Inter" w:cs="Inter"/>
          <w:color w:val="000000"/>
          <w:sz w:val="16"/>
          <w:szCs w:val="16"/>
        </w:rPr>
        <w:t>labor</w:t>
      </w:r>
      <w:proofErr w:type="spellEnd"/>
      <w:r>
        <w:rPr>
          <w:rFonts w:ascii="Inter" w:eastAsia="Inter" w:hAnsi="Inter" w:cs="Inter"/>
          <w:color w:val="000000"/>
          <w:sz w:val="16"/>
          <w:szCs w:val="16"/>
        </w:rPr>
        <w:t xml:space="preserve"> hours (15% for projects beginning construction in 2024+) must be performed by qualified apprentices from registered apprenticeship programs.</w:t>
      </w:r>
      <w:r>
        <w:rPr>
          <w:rFonts w:ascii="Inter" w:eastAsia="Inter" w:hAnsi="Inter" w:cs="Inter"/>
          <w:color w:val="0563C1"/>
          <w:sz w:val="16"/>
          <w:szCs w:val="16"/>
          <w:vertAlign w:val="superscript"/>
        </w:rPr>
        <w:t>[19]</w:t>
      </w:r>
    </w:p>
    <w:p w14:paraId="00000094"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Cure provisions: missed PWA can be cured via back wages plus interest, plus a $5,000-per-worker penalty (or higher for intentional disregard).</w:t>
      </w:r>
      <w:r>
        <w:rPr>
          <w:rFonts w:ascii="Inter" w:eastAsia="Inter" w:hAnsi="Inter" w:cs="Inter"/>
          <w:color w:val="0563C1"/>
          <w:sz w:val="16"/>
          <w:szCs w:val="16"/>
          <w:vertAlign w:val="superscript"/>
        </w:rPr>
        <w:t>[19]</w:t>
      </w:r>
    </w:p>
    <w:p w14:paraId="00000095"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Small-facility exemption: facilities with maximum net output under 1 MW are statutorily exempt from PWA requirements and automatically receive the full 30% ITC base rate. This exemption is mostly relevant for ultra-small microreactor pilots — typical Tribal microreactor designs in the 3–5 MWe range do not qualify.</w:t>
      </w:r>
      <w:r>
        <w:rPr>
          <w:rFonts w:ascii="Inter" w:eastAsia="Inter" w:hAnsi="Inter" w:cs="Inter"/>
          <w:color w:val="0563C1"/>
          <w:sz w:val="16"/>
          <w:szCs w:val="16"/>
          <w:vertAlign w:val="superscript"/>
        </w:rPr>
        <w:t>[19]</w:t>
      </w:r>
    </w:p>
    <w:p w14:paraId="00000096" w14:textId="77777777" w:rsidR="002C014C" w:rsidRDefault="002C014C">
      <w:pPr>
        <w:pBdr>
          <w:top w:val="nil"/>
          <w:left w:val="nil"/>
          <w:bottom w:val="nil"/>
          <w:right w:val="nil"/>
          <w:between w:val="nil"/>
        </w:pBdr>
        <w:spacing w:after="80"/>
        <w:ind w:left="720"/>
        <w:rPr>
          <w:rFonts w:ascii="Inter" w:eastAsia="Inter" w:hAnsi="Inter" w:cs="Inter"/>
          <w:sz w:val="16"/>
          <w:szCs w:val="16"/>
        </w:rPr>
      </w:pPr>
    </w:p>
    <w:p w14:paraId="00000097" w14:textId="77777777" w:rsidR="002C014C" w:rsidRDefault="00000000">
      <w:pPr>
        <w:pStyle w:val="Heading2"/>
        <w:rPr>
          <w:rFonts w:ascii="Inter" w:eastAsia="Inter" w:hAnsi="Inter" w:cs="Inter"/>
          <w:sz w:val="18"/>
          <w:szCs w:val="18"/>
        </w:rPr>
      </w:pPr>
      <w:r>
        <w:rPr>
          <w:rFonts w:ascii="Inter" w:eastAsia="Inter" w:hAnsi="Inter" w:cs="Inter"/>
          <w:sz w:val="18"/>
          <w:szCs w:val="18"/>
        </w:rPr>
        <w:t>3.3 Foreign Entity of Concern (FEOC) Restrictions (OBBBA)</w:t>
      </w:r>
    </w:p>
    <w:p w14:paraId="00000098"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Effective for facilities beginning construction in 2026 and later, projects cannot claim §48E ITC or §45Y PTC </w:t>
      </w:r>
      <w:proofErr w:type="gramStart"/>
      <w:r>
        <w:rPr>
          <w:rFonts w:ascii="Inter" w:eastAsia="Inter" w:hAnsi="Inter" w:cs="Inter"/>
          <w:sz w:val="16"/>
          <w:szCs w:val="16"/>
        </w:rPr>
        <w:t>if:</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41,44,45]</w:t>
      </w:r>
    </w:p>
    <w:p w14:paraId="00000099"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lastRenderedPageBreak/>
        <w:t xml:space="preserve">The taxpayer is a Specified Foreign Entity (SFE) — broadly, entities tied to China, Russia, North Korea, or Iran; </w:t>
      </w:r>
      <w:proofErr w:type="gramStart"/>
      <w:r>
        <w:rPr>
          <w:rFonts w:ascii="Inter" w:eastAsia="Inter" w:hAnsi="Inter" w:cs="Inter"/>
          <w:color w:val="000000"/>
          <w:sz w:val="16"/>
          <w:szCs w:val="16"/>
        </w:rPr>
        <w:t>or</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41,44]</w:t>
      </w:r>
    </w:p>
    <w:p w14:paraId="0000009A"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The project receives "material assistance" (cost-share contribution from SFE/FIE-sourced components) above the year-specific threshold; or</w:t>
      </w:r>
    </w:p>
    <w:p w14:paraId="0000009B"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Credits cannot be transferred under §6418 to specified foreign </w:t>
      </w:r>
      <w:proofErr w:type="gramStart"/>
      <w:r>
        <w:rPr>
          <w:rFonts w:ascii="Inter" w:eastAsia="Inter" w:hAnsi="Inter" w:cs="Inter"/>
          <w:color w:val="000000"/>
          <w:sz w:val="16"/>
          <w:szCs w:val="16"/>
        </w:rPr>
        <w:t>entities.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41,44]</w:t>
      </w:r>
    </w:p>
    <w:p w14:paraId="0000009C" w14:textId="77777777" w:rsidR="002C014C" w:rsidRDefault="00000000">
      <w:pPr>
        <w:spacing w:after="120"/>
        <w:rPr>
          <w:rFonts w:ascii="Inter" w:eastAsia="Inter" w:hAnsi="Inter" w:cs="Inter"/>
          <w:sz w:val="16"/>
          <w:szCs w:val="16"/>
        </w:rPr>
      </w:pPr>
      <w:r>
        <w:rPr>
          <w:rFonts w:ascii="Inter" w:eastAsia="Inter" w:hAnsi="Inter" w:cs="Inter"/>
          <w:sz w:val="16"/>
          <w:szCs w:val="16"/>
        </w:rPr>
        <w:t>For Tribal projects, supply chain due diligence will be required as a financing-close condition.</w:t>
      </w:r>
    </w:p>
    <w:p w14:paraId="0000009D" w14:textId="77777777" w:rsidR="002C014C" w:rsidRDefault="00000000">
      <w:pPr>
        <w:pStyle w:val="Heading2"/>
        <w:rPr>
          <w:rFonts w:ascii="Inter" w:eastAsia="Inter" w:hAnsi="Inter" w:cs="Inter"/>
          <w:sz w:val="18"/>
          <w:szCs w:val="18"/>
        </w:rPr>
      </w:pPr>
      <w:r>
        <w:rPr>
          <w:rFonts w:ascii="Inter" w:eastAsia="Inter" w:hAnsi="Inter" w:cs="Inter"/>
          <w:sz w:val="18"/>
          <w:szCs w:val="18"/>
        </w:rPr>
        <w:t>3.4 §48E(h) Indian Land Bonus — Specific Constraints</w:t>
      </w:r>
    </w:p>
    <w:p w14:paraId="0000009E"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Size cap: facility net output must be under 5 MW. Microreactor designs (e.g., Westinghouse </w:t>
      </w:r>
      <w:proofErr w:type="spellStart"/>
      <w:r>
        <w:rPr>
          <w:rFonts w:ascii="Inter" w:eastAsia="Inter" w:hAnsi="Inter" w:cs="Inter"/>
          <w:color w:val="000000"/>
          <w:sz w:val="16"/>
          <w:szCs w:val="16"/>
        </w:rPr>
        <w:t>eVinci</w:t>
      </w:r>
      <w:proofErr w:type="spellEnd"/>
      <w:r>
        <w:rPr>
          <w:rFonts w:ascii="Inter" w:eastAsia="Inter" w:hAnsi="Inter" w:cs="Inter"/>
          <w:color w:val="000000"/>
          <w:sz w:val="16"/>
          <w:szCs w:val="16"/>
        </w:rPr>
        <w:t xml:space="preserve">, BWXT/X-energy KRUSTY-class) may qualify; SMRs do </w:t>
      </w:r>
      <w:proofErr w:type="gramStart"/>
      <w:r>
        <w:rPr>
          <w:rFonts w:ascii="Inter" w:eastAsia="Inter" w:hAnsi="Inter" w:cs="Inter"/>
          <w:color w:val="000000"/>
          <w:sz w:val="16"/>
          <w:szCs w:val="16"/>
        </w:rPr>
        <w:t>not.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2,3,6,7]</w:t>
      </w:r>
    </w:p>
    <w:p w14:paraId="0000009F"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Application window 2026: Feb 2, 2026 (9:00 a.m. ET) – Aug 7, 2026 (11:59 p.m. ET</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3,6,7]</w:t>
      </w:r>
    </w:p>
    <w:p w14:paraId="000000A0"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Capacity-limited: 200 MW reserved for Indian Land in </w:t>
      </w:r>
      <w:proofErr w:type="gramStart"/>
      <w:r>
        <w:rPr>
          <w:rFonts w:ascii="Inter" w:eastAsia="Inter" w:hAnsi="Inter" w:cs="Inter"/>
          <w:color w:val="000000"/>
          <w:sz w:val="16"/>
          <w:szCs w:val="16"/>
        </w:rPr>
        <w:t>2026.</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2,7]</w:t>
      </w:r>
    </w:p>
    <w:p w14:paraId="000000A1"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Allocations are valid for 4 years from issuance — facility must be placed in service within that window.</w:t>
      </w:r>
      <w:r>
        <w:rPr>
          <w:rFonts w:ascii="Inter" w:eastAsia="Inter" w:hAnsi="Inter" w:cs="Inter"/>
          <w:color w:val="0563C1"/>
          <w:sz w:val="16"/>
          <w:szCs w:val="16"/>
          <w:vertAlign w:val="superscript"/>
        </w:rPr>
        <w:t>[7]</w:t>
      </w:r>
    </w:p>
    <w:p w14:paraId="000000A2"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"Indian Land" definition follows §2601(2) of the Energy Policy Act of 1992 (25 U.S.C. §3501(2)): includes federally recognized Tribal lands, trust lands, allotments, and lands of Alaska Native Corporations and the Department of Hawaiian </w:t>
      </w:r>
      <w:proofErr w:type="gramStart"/>
      <w:r>
        <w:rPr>
          <w:rFonts w:ascii="Inter" w:eastAsia="Inter" w:hAnsi="Inter" w:cs="Inter"/>
          <w:color w:val="000000"/>
          <w:sz w:val="16"/>
          <w:szCs w:val="16"/>
        </w:rPr>
        <w:t>Home Lands</w:t>
      </w:r>
      <w:proofErr w:type="gramEnd"/>
      <w:r>
        <w:rPr>
          <w:rFonts w:ascii="Inter" w:eastAsia="Inter" w:hAnsi="Inter" w:cs="Inter"/>
          <w:color w:val="000000"/>
          <w:sz w:val="16"/>
          <w:szCs w:val="16"/>
        </w:rPr>
        <w:t>.</w:t>
      </w:r>
      <w:r>
        <w:rPr>
          <w:rFonts w:ascii="Inter" w:eastAsia="Inter" w:hAnsi="Inter" w:cs="Inter"/>
          <w:color w:val="0563C1"/>
          <w:sz w:val="16"/>
          <w:szCs w:val="16"/>
          <w:vertAlign w:val="superscript"/>
        </w:rPr>
        <w:t>[7]</w:t>
      </w:r>
    </w:p>
    <w:p w14:paraId="000000A3" w14:textId="77777777" w:rsidR="002C014C" w:rsidRDefault="00000000">
      <w:pPr>
        <w:pStyle w:val="Heading2"/>
        <w:rPr>
          <w:rFonts w:ascii="Inter" w:eastAsia="Inter" w:hAnsi="Inter" w:cs="Inter"/>
          <w:sz w:val="18"/>
          <w:szCs w:val="18"/>
        </w:rPr>
      </w:pPr>
      <w:r>
        <w:rPr>
          <w:rFonts w:ascii="Inter" w:eastAsia="Inter" w:hAnsi="Inter" w:cs="Inter"/>
          <w:sz w:val="18"/>
          <w:szCs w:val="18"/>
        </w:rPr>
        <w:t>3.5 Direct Pay — Specific Constraints</w:t>
      </w:r>
    </w:p>
    <w:p w14:paraId="000000A4"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Pre-filing registration with IRS Energy Credits Online required before placing the facility in </w:t>
      </w:r>
      <w:proofErr w:type="gramStart"/>
      <w:r>
        <w:rPr>
          <w:rFonts w:ascii="Inter" w:eastAsia="Inter" w:hAnsi="Inter" w:cs="Inter"/>
          <w:color w:val="000000"/>
          <w:sz w:val="16"/>
          <w:szCs w:val="16"/>
        </w:rPr>
        <w:t>service.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8,47]</w:t>
      </w:r>
    </w:p>
    <w:p w14:paraId="000000A5"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Domestic content compliance becomes mandatory for §6417 Direct Pay projects beginning construction in 2026 or later (with limited exceptions for projects unable to meet content requirements due to cost or availability</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18,23,41]</w:t>
      </w:r>
    </w:p>
    <w:p w14:paraId="000000A6"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Direct Pay election must be made on a timely-filed return (including extensions).</w:t>
      </w:r>
    </w:p>
    <w:p w14:paraId="000000A7" w14:textId="77777777" w:rsidR="002C014C" w:rsidRDefault="00000000">
      <w:pPr>
        <w:pStyle w:val="Heading2"/>
        <w:rPr>
          <w:rFonts w:ascii="Inter" w:eastAsia="Inter" w:hAnsi="Inter" w:cs="Inter"/>
          <w:sz w:val="18"/>
          <w:szCs w:val="18"/>
        </w:rPr>
      </w:pPr>
      <w:r>
        <w:rPr>
          <w:rFonts w:ascii="Inter" w:eastAsia="Inter" w:hAnsi="Inter" w:cs="Inter"/>
          <w:sz w:val="18"/>
          <w:szCs w:val="18"/>
        </w:rPr>
        <w:t>3.6 Recapture Risks</w:t>
      </w:r>
    </w:p>
    <w:p w14:paraId="000000A8"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ITC recapture applies if the facility ceases qualified use within 5 years of being placed in service. Recapture is on a sliding scale: 100% in year 1, decreasing 20% per year. PTC has no recapture but must satisfy ongoing requirements (e.g., PWA in repair) for 10 </w:t>
      </w:r>
      <w:proofErr w:type="gramStart"/>
      <w:r>
        <w:rPr>
          <w:rFonts w:ascii="Inter" w:eastAsia="Inter" w:hAnsi="Inter" w:cs="Inter"/>
          <w:sz w:val="16"/>
          <w:szCs w:val="16"/>
        </w:rPr>
        <w:t>years.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5,44,48]</w:t>
      </w:r>
    </w:p>
    <w:p w14:paraId="000000A9" w14:textId="77777777" w:rsidR="002C014C" w:rsidRDefault="00000000">
      <w:pPr>
        <w:rPr>
          <w:rFonts w:ascii="Inter" w:eastAsia="Inter" w:hAnsi="Inter" w:cs="Inter"/>
          <w:sz w:val="14"/>
          <w:szCs w:val="14"/>
        </w:rPr>
      </w:pPr>
      <w:r>
        <w:br w:type="page"/>
      </w:r>
    </w:p>
    <w:p w14:paraId="000000AA" w14:textId="77777777" w:rsidR="002C014C" w:rsidRDefault="00000000">
      <w:pPr>
        <w:pStyle w:val="Heading2"/>
        <w:rPr>
          <w:rFonts w:ascii="Inter" w:eastAsia="Inter" w:hAnsi="Inter" w:cs="Inter"/>
          <w:sz w:val="18"/>
          <w:szCs w:val="18"/>
        </w:rPr>
      </w:pPr>
      <w:r>
        <w:rPr>
          <w:rFonts w:ascii="Inter" w:eastAsia="Inter" w:hAnsi="Inter" w:cs="Inter"/>
          <w:sz w:val="18"/>
          <w:szCs w:val="18"/>
        </w:rPr>
        <w:lastRenderedPageBreak/>
        <w:t>3.7 Benefits Delivery Mechanics</w:t>
      </w:r>
    </w:p>
    <w:p w14:paraId="000000AB" w14:textId="77777777" w:rsidR="002C014C" w:rsidRDefault="00000000">
      <w:pPr>
        <w:rPr>
          <w:rFonts w:ascii="Inter" w:eastAsia="Inter" w:hAnsi="Inter" w:cs="Inter"/>
          <w:b/>
          <w:bCs/>
          <w:sz w:val="16"/>
          <w:szCs w:val="16"/>
        </w:rPr>
      </w:pPr>
      <w:r>
        <w:rPr>
          <w:rFonts w:ascii="Inter" w:eastAsia="Inter" w:hAnsi="Inter" w:cs="Inter"/>
          <w:b/>
          <w:bCs/>
          <w:sz w:val="16"/>
          <w:szCs w:val="16"/>
        </w:rPr>
        <w:t xml:space="preserve">The form in which each benefit shows up is genuinely different, and it matters for cash flow </w:t>
      </w:r>
      <w:proofErr w:type="spellStart"/>
      <w:r>
        <w:rPr>
          <w:rFonts w:ascii="Inter" w:eastAsia="Inter" w:hAnsi="Inter" w:cs="Inter"/>
          <w:b/>
          <w:bCs/>
          <w:sz w:val="16"/>
          <w:szCs w:val="16"/>
        </w:rPr>
        <w:t>modeling</w:t>
      </w:r>
      <w:proofErr w:type="spellEnd"/>
      <w:r>
        <w:rPr>
          <w:rFonts w:ascii="Inter" w:eastAsia="Inter" w:hAnsi="Inter" w:cs="Inter"/>
          <w:b/>
          <w:bCs/>
          <w:sz w:val="16"/>
          <w:szCs w:val="16"/>
        </w:rPr>
        <w:t>. Here's how each one is delivered:</w:t>
      </w:r>
    </w:p>
    <w:p w14:paraId="000000AC"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§48E ITC base credit + adders (the 30% + adders stack).</w:t>
      </w:r>
      <w:r>
        <w:rPr>
          <w:rFonts w:ascii="Inter" w:eastAsia="Inter" w:hAnsi="Inter" w:cs="Inter"/>
          <w:sz w:val="16"/>
          <w:szCs w:val="16"/>
        </w:rPr>
        <w:t xml:space="preserve"> For a Tribe electing Direct Pay under §6417, this lands as an actual cash refund — a check or, more commonly, an ACH wire from the U.S. Treasury to the Tribal entity's bank account. The mechanism: the Tribe files Form 990-T (or applicable return) by the due date including extensions, the IRS treats the credit as a tax </w:t>
      </w:r>
      <w:proofErr w:type="gramStart"/>
      <w:r>
        <w:rPr>
          <w:rFonts w:ascii="Inter" w:eastAsia="Inter" w:hAnsi="Inter" w:cs="Inter"/>
          <w:sz w:val="16"/>
          <w:szCs w:val="16"/>
        </w:rPr>
        <w:t>overpayment, and</w:t>
      </w:r>
      <w:proofErr w:type="gramEnd"/>
      <w:r>
        <w:rPr>
          <w:rFonts w:ascii="Inter" w:eastAsia="Inter" w:hAnsi="Inter" w:cs="Inter"/>
          <w:sz w:val="16"/>
          <w:szCs w:val="16"/>
        </w:rPr>
        <w:t xml:space="preserve"> refunds it. Timing is roughly 6–12 months after filing. For taxable developers (non-Tribal partners), the same credit instead reduces federal income tax liability dollar-for-dollar on Form 3468 — no cash unless they elect Transferability and sell the credit to a third party at ~92–94 cents on the </w:t>
      </w:r>
      <w:proofErr w:type="gramStart"/>
      <w:r>
        <w:rPr>
          <w:rFonts w:ascii="Inter" w:eastAsia="Inter" w:hAnsi="Inter" w:cs="Inter"/>
          <w:sz w:val="16"/>
          <w:szCs w:val="16"/>
        </w:rPr>
        <w:t>dollar.</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8,17,21,47]</w:t>
      </w:r>
    </w:p>
    <w:p w14:paraId="000000AD"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§45Y PTC.</w:t>
      </w:r>
      <w:r>
        <w:rPr>
          <w:rFonts w:ascii="Inter" w:eastAsia="Inter" w:hAnsi="Inter" w:cs="Inter"/>
          <w:sz w:val="16"/>
          <w:szCs w:val="16"/>
        </w:rPr>
        <w:t xml:space="preserve"> Same delivery mechanism as the </w:t>
      </w:r>
      <w:proofErr w:type="gramStart"/>
      <w:r>
        <w:rPr>
          <w:rFonts w:ascii="Inter" w:eastAsia="Inter" w:hAnsi="Inter" w:cs="Inter"/>
          <w:sz w:val="16"/>
          <w:szCs w:val="16"/>
        </w:rPr>
        <w:t>ITC, but</w:t>
      </w:r>
      <w:proofErr w:type="gramEnd"/>
      <w:r>
        <w:rPr>
          <w:rFonts w:ascii="Inter" w:eastAsia="Inter" w:hAnsi="Inter" w:cs="Inter"/>
          <w:sz w:val="16"/>
          <w:szCs w:val="16"/>
        </w:rPr>
        <w:t xml:space="preserve"> spread over 10 years. A Tribe using Direct Pay receives an annual cash refund for each year of qualifying production. Each year requires its own tax return filing and registration renewal. This is meaningful for liquidity planning — the PTC is not a lump </w:t>
      </w:r>
      <w:proofErr w:type="gramStart"/>
      <w:r>
        <w:rPr>
          <w:rFonts w:ascii="Inter" w:eastAsia="Inter" w:hAnsi="Inter" w:cs="Inter"/>
          <w:sz w:val="16"/>
          <w:szCs w:val="16"/>
        </w:rPr>
        <w:t>sum.</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8,21]</w:t>
      </w:r>
    </w:p>
    <w:p w14:paraId="000000AE"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§48E(h) Indian Land bonus (+10 pp).</w:t>
      </w:r>
      <w:r>
        <w:rPr>
          <w:rFonts w:ascii="Inter" w:eastAsia="Inter" w:hAnsi="Inter" w:cs="Inter"/>
          <w:sz w:val="16"/>
          <w:szCs w:val="16"/>
        </w:rPr>
        <w:t xml:space="preserve"> This is not a separate payment — it's an increase to the §48E ITC rate. Once allocated by DOE/IRS, it flows through the same Direct Pay refund mechanism described above. </w:t>
      </w:r>
      <w:proofErr w:type="gramStart"/>
      <w:r>
        <w:rPr>
          <w:rFonts w:ascii="Inter" w:eastAsia="Inter" w:hAnsi="Inter" w:cs="Inter"/>
          <w:sz w:val="16"/>
          <w:szCs w:val="16"/>
        </w:rPr>
        <w:t>So</w:t>
      </w:r>
      <w:proofErr w:type="gramEnd"/>
      <w:r>
        <w:rPr>
          <w:rFonts w:ascii="Inter" w:eastAsia="Inter" w:hAnsi="Inter" w:cs="Inter"/>
          <w:sz w:val="16"/>
          <w:szCs w:val="16"/>
        </w:rPr>
        <w:t xml:space="preserve"> a 50% ITC instead of a 40% ITC means a bigger single refund check, not two separate </w:t>
      </w:r>
      <w:proofErr w:type="gramStart"/>
      <w:r>
        <w:rPr>
          <w:rFonts w:ascii="Inter" w:eastAsia="Inter" w:hAnsi="Inter" w:cs="Inter"/>
          <w:sz w:val="16"/>
          <w:szCs w:val="16"/>
        </w:rPr>
        <w:t>payments.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7,8]</w:t>
      </w:r>
    </w:p>
    <w:p w14:paraId="000000AF"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Direct Pay (§6417).</w:t>
      </w:r>
      <w:r>
        <w:rPr>
          <w:rFonts w:ascii="Inter" w:eastAsia="Inter" w:hAnsi="Inter" w:cs="Inter"/>
          <w:sz w:val="16"/>
          <w:szCs w:val="16"/>
        </w:rPr>
        <w:t xml:space="preserve"> This is the </w:t>
      </w:r>
      <w:r>
        <w:rPr>
          <w:rFonts w:ascii="Inter" w:eastAsia="Inter" w:hAnsi="Inter" w:cs="Inter"/>
          <w:i/>
          <w:iCs/>
          <w:sz w:val="16"/>
          <w:szCs w:val="16"/>
        </w:rPr>
        <w:t>mechanism</w:t>
      </w:r>
      <w:r>
        <w:rPr>
          <w:rFonts w:ascii="Inter" w:eastAsia="Inter" w:hAnsi="Inter" w:cs="Inter"/>
          <w:sz w:val="16"/>
          <w:szCs w:val="16"/>
        </w:rPr>
        <w:t>, not a separate benefit. It's how Tribes convert what would otherwise be a tax offset into actual cash. Without Direct Pay, a tax-exempt Tribal government couldn't use the credits at all (no tax liability to offset against).</w:t>
      </w:r>
    </w:p>
    <w:p w14:paraId="000000B0"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DOE Tribal Energy Financing Program (TEFP) loan guarantee.</w:t>
      </w:r>
      <w:r>
        <w:rPr>
          <w:rFonts w:ascii="Inter" w:eastAsia="Inter" w:hAnsi="Inter" w:cs="Inter"/>
          <w:sz w:val="16"/>
          <w:szCs w:val="16"/>
        </w:rPr>
        <w:t xml:space="preserve"> This is not money in the bank. It's a federal guarantee that backs a loan made to the Tribe — typically by the Federal Financing Bank (FFB) for direct loans, or by a commercial lender for guaranteed third-party loans. The Tribe still </w:t>
      </w:r>
      <w:proofErr w:type="gramStart"/>
      <w:r>
        <w:rPr>
          <w:rFonts w:ascii="Inter" w:eastAsia="Inter" w:hAnsi="Inter" w:cs="Inter"/>
          <w:sz w:val="16"/>
          <w:szCs w:val="16"/>
        </w:rPr>
        <w:t>has to</w:t>
      </w:r>
      <w:proofErr w:type="gramEnd"/>
      <w:r>
        <w:rPr>
          <w:rFonts w:ascii="Inter" w:eastAsia="Inter" w:hAnsi="Inter" w:cs="Inter"/>
          <w:sz w:val="16"/>
          <w:szCs w:val="16"/>
        </w:rPr>
        <w:t xml:space="preserve"> repay the loan with interest. The "benefit" is access to capital at lower interest rates (typically 100–300 bps below commercial rates) and longer tenors than commercial lenders would offer. For a $1B project at 80% TEFP coverage with 200 bps savings over a 15-year tenor, the present-value benefit is roughly $240M of avoided interest expense — real economic </w:t>
      </w:r>
      <w:proofErr w:type="gramStart"/>
      <w:r>
        <w:rPr>
          <w:rFonts w:ascii="Inter" w:eastAsia="Inter" w:hAnsi="Inter" w:cs="Inter"/>
          <w:sz w:val="16"/>
          <w:szCs w:val="16"/>
        </w:rPr>
        <w:t>value, but</w:t>
      </w:r>
      <w:proofErr w:type="gramEnd"/>
      <w:r>
        <w:rPr>
          <w:rFonts w:ascii="Inter" w:eastAsia="Inter" w:hAnsi="Inter" w:cs="Inter"/>
          <w:sz w:val="16"/>
          <w:szCs w:val="16"/>
        </w:rPr>
        <w:t xml:space="preserve"> spread over 15 years and conditional on debt </w:t>
      </w:r>
      <w:proofErr w:type="gramStart"/>
      <w:r>
        <w:rPr>
          <w:rFonts w:ascii="Inter" w:eastAsia="Inter" w:hAnsi="Inter" w:cs="Inter"/>
          <w:sz w:val="16"/>
          <w:szCs w:val="16"/>
        </w:rPr>
        <w:t>service.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14,25]</w:t>
      </w:r>
    </w:p>
    <w:p w14:paraId="000000B1"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DOE Office of Indian Energy grants ($50M NOFO).</w:t>
      </w:r>
      <w:r>
        <w:rPr>
          <w:rFonts w:ascii="Inter" w:eastAsia="Inter" w:hAnsi="Inter" w:cs="Inter"/>
          <w:sz w:val="16"/>
          <w:szCs w:val="16"/>
        </w:rPr>
        <w:t xml:space="preserve"> This is direct cash to the Tribe — but it's reimbursement-based, not upfront. The Tribe incurs eligible expenses, submits invoices through the DOE IE-Exchange portal, and receives reimbursement payments typically within 30–60 days of approved invoice. No tax liability is created. The grant is for planning/feasibility/construction work, not for general operations, so it </w:t>
      </w:r>
      <w:proofErr w:type="gramStart"/>
      <w:r>
        <w:rPr>
          <w:rFonts w:ascii="Inter" w:eastAsia="Inter" w:hAnsi="Inter" w:cs="Inter"/>
          <w:sz w:val="16"/>
          <w:szCs w:val="16"/>
        </w:rPr>
        <w:t>has to</w:t>
      </w:r>
      <w:proofErr w:type="gramEnd"/>
      <w:r>
        <w:rPr>
          <w:rFonts w:ascii="Inter" w:eastAsia="Inter" w:hAnsi="Inter" w:cs="Inter"/>
          <w:sz w:val="16"/>
          <w:szCs w:val="16"/>
        </w:rPr>
        <w:t xml:space="preserve"> be spent on eligible activities and documented </w:t>
      </w:r>
      <w:proofErr w:type="gramStart"/>
      <w:r>
        <w:rPr>
          <w:rFonts w:ascii="Inter" w:eastAsia="Inter" w:hAnsi="Inter" w:cs="Inter"/>
          <w:sz w:val="16"/>
          <w:szCs w:val="16"/>
        </w:rPr>
        <w:t>accordingly.</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11,20]</w:t>
      </w:r>
    </w:p>
    <w:p w14:paraId="000000B2"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Property tax / PILOT savings.</w:t>
      </w:r>
      <w:r>
        <w:rPr>
          <w:rFonts w:ascii="Inter" w:eastAsia="Inter" w:hAnsi="Inter" w:cs="Inter"/>
          <w:sz w:val="16"/>
          <w:szCs w:val="16"/>
        </w:rPr>
        <w:t xml:space="preserve"> This isn't a federal benefit at all — it's a structural feature of Tribal sovereignty. Tribal trust lands are not subject to state or local property tax. The "benefit" shows up as a permanently lower operating expense line in the project pro forma, not as any </w:t>
      </w:r>
      <w:proofErr w:type="gramStart"/>
      <w:r>
        <w:rPr>
          <w:rFonts w:ascii="Inter" w:eastAsia="Inter" w:hAnsi="Inter" w:cs="Inter"/>
          <w:sz w:val="16"/>
          <w:szCs w:val="16"/>
        </w:rPr>
        <w:t>payment.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53,47]</w:t>
      </w:r>
    </w:p>
    <w:p w14:paraId="000000B3"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Energy Community + Domestic Content adders (separate from the Indian Land bonus).</w:t>
      </w:r>
      <w:r>
        <w:rPr>
          <w:rFonts w:ascii="Inter" w:eastAsia="Inter" w:hAnsi="Inter" w:cs="Inter"/>
          <w:sz w:val="16"/>
          <w:szCs w:val="16"/>
        </w:rPr>
        <w:t xml:space="preserve"> Same as the §48E(h) adder — these increase the ITC rate, flow through Direct Pay, and arrive as a larger single cash refund.</w:t>
      </w:r>
    </w:p>
    <w:p w14:paraId="000000B4" w14:textId="77777777" w:rsidR="002C014C" w:rsidRDefault="00000000">
      <w:pPr>
        <w:spacing w:before="240" w:after="240"/>
        <w:rPr>
          <w:rFonts w:ascii="Inter" w:eastAsia="Inter" w:hAnsi="Inter" w:cs="Inter"/>
          <w:sz w:val="16"/>
          <w:szCs w:val="16"/>
        </w:rPr>
      </w:pPr>
      <w:r>
        <w:rPr>
          <w:rFonts w:ascii="Inter" w:eastAsia="Inter" w:hAnsi="Inter" w:cs="Inter"/>
          <w:b/>
          <w:bCs/>
          <w:sz w:val="16"/>
          <w:szCs w:val="16"/>
        </w:rPr>
        <w:t>Putting it together for a Tribal nuclear project:</w:t>
      </w:r>
      <w:r>
        <w:rPr>
          <w:rFonts w:ascii="Inter" w:eastAsia="Inter" w:hAnsi="Inter" w:cs="Inter"/>
          <w:sz w:val="16"/>
          <w:szCs w:val="16"/>
        </w:rPr>
        <w:t xml:space="preserve"> the cash flow profile is a one-time large Direct Pay refund (or 10 annual refunds if PTC) covering 30–70% of project cost, plus a TEFP-backed loan that has to be repaid but at a lower cost than commercial debt, plus reimbursement-based grants for early-stage feasibility work, plus permanent operating cost savings from no property tax. The largest single cash event is the Direct Pay refund, which typically arrives ~6–12 months after the facility is placed in service.</w:t>
      </w:r>
    </w:p>
    <w:p w14:paraId="000000B5" w14:textId="77777777" w:rsidR="002C014C" w:rsidRDefault="00000000">
      <w:pPr>
        <w:spacing w:before="240" w:after="240"/>
        <w:rPr>
          <w:rFonts w:ascii="Inter" w:eastAsia="Inter" w:hAnsi="Inter" w:cs="Inter"/>
          <w:sz w:val="16"/>
          <w:szCs w:val="16"/>
        </w:rPr>
      </w:pPr>
      <w:r>
        <w:rPr>
          <w:rFonts w:ascii="Inter" w:eastAsia="Inter" w:hAnsi="Inter" w:cs="Inter"/>
          <w:sz w:val="16"/>
          <w:szCs w:val="16"/>
        </w:rPr>
        <w:t xml:space="preserve">One important caveat on Direct Pay timing: under IRS guidance, pre-filing registration alone should be submitted at least 120 days before the return due date to allow for processing, and additional time is needed after filing for the IRS to issue the refund. Tribes should plan for the refund as project cash flow only after construction debt is in place — not as construction-period </w:t>
      </w:r>
      <w:proofErr w:type="gramStart"/>
      <w:r>
        <w:rPr>
          <w:rFonts w:ascii="Inter" w:eastAsia="Inter" w:hAnsi="Inter" w:cs="Inter"/>
          <w:sz w:val="16"/>
          <w:szCs w:val="16"/>
        </w:rPr>
        <w:t>financing.</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8,21,56]</w:t>
      </w:r>
    </w:p>
    <w:p w14:paraId="000000B6" w14:textId="77777777" w:rsidR="002C014C" w:rsidRDefault="002C014C">
      <w:pPr>
        <w:rPr>
          <w:rFonts w:ascii="Inter" w:eastAsia="Inter" w:hAnsi="Inter" w:cs="Inter"/>
          <w:sz w:val="16"/>
          <w:szCs w:val="16"/>
        </w:rPr>
      </w:pPr>
    </w:p>
    <w:p w14:paraId="000000B7" w14:textId="77777777" w:rsidR="002C014C" w:rsidRDefault="00000000">
      <w:pPr>
        <w:pStyle w:val="Heading1"/>
        <w:rPr>
          <w:rFonts w:ascii="Inter" w:eastAsia="Inter" w:hAnsi="Inter" w:cs="Inter"/>
          <w:sz w:val="20"/>
          <w:szCs w:val="20"/>
        </w:rPr>
      </w:pPr>
      <w:r>
        <w:rPr>
          <w:rFonts w:ascii="Inter" w:eastAsia="Inter" w:hAnsi="Inter" w:cs="Inter"/>
          <w:sz w:val="20"/>
          <w:szCs w:val="20"/>
        </w:rPr>
        <w:t>4. High-Level Benefits Overview</w:t>
      </w:r>
    </w:p>
    <w:p w14:paraId="000000B8" w14:textId="77777777" w:rsidR="002C014C" w:rsidRDefault="00000000">
      <w:pPr>
        <w:spacing w:after="120"/>
        <w:rPr>
          <w:rFonts w:ascii="Inter" w:eastAsia="Inter" w:hAnsi="Inter" w:cs="Inter"/>
          <w:sz w:val="16"/>
          <w:szCs w:val="16"/>
        </w:rPr>
      </w:pPr>
      <w:r>
        <w:rPr>
          <w:rFonts w:ascii="Inter" w:eastAsia="Inter" w:hAnsi="Inter" w:cs="Inter"/>
          <w:sz w:val="16"/>
          <w:szCs w:val="16"/>
        </w:rPr>
        <w:t>On a typical advanced nuclear or SMR project sited on Tribal land, the IRA/OBBBA benefit stack delivers the following economic effects:</w:t>
      </w:r>
    </w:p>
    <w:p w14:paraId="000000B9" w14:textId="77777777" w:rsidR="002C014C" w:rsidRDefault="00000000">
      <w:pPr>
        <w:pStyle w:val="Heading2"/>
        <w:rPr>
          <w:rFonts w:ascii="Inter" w:eastAsia="Inter" w:hAnsi="Inter" w:cs="Inter"/>
          <w:sz w:val="18"/>
          <w:szCs w:val="18"/>
        </w:rPr>
      </w:pPr>
      <w:r>
        <w:rPr>
          <w:rFonts w:ascii="Inter" w:eastAsia="Inter" w:hAnsi="Inter" w:cs="Inter"/>
          <w:sz w:val="18"/>
          <w:szCs w:val="18"/>
        </w:rPr>
        <w:lastRenderedPageBreak/>
        <w:t>4.1 Levelized Cost of Electricity (LCOE) Impact</w:t>
      </w:r>
    </w:p>
    <w:p w14:paraId="000000BA"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Nuclear Innovation Alliance has </w:t>
      </w:r>
      <w:proofErr w:type="spellStart"/>
      <w:r>
        <w:rPr>
          <w:rFonts w:ascii="Inter" w:eastAsia="Inter" w:hAnsi="Inter" w:cs="Inter"/>
          <w:sz w:val="16"/>
          <w:szCs w:val="16"/>
        </w:rPr>
        <w:t>modeled</w:t>
      </w:r>
      <w:proofErr w:type="spellEnd"/>
      <w:r>
        <w:rPr>
          <w:rFonts w:ascii="Inter" w:eastAsia="Inter" w:hAnsi="Inter" w:cs="Inter"/>
          <w:sz w:val="16"/>
          <w:szCs w:val="16"/>
        </w:rPr>
        <w:t xml:space="preserve"> that the §48E ITC alone reduces the LCOE of a new nuclear project by approximately 23–30%. For a NOAK (Nth-of-a-kind) SMR project with pre-incentive LCOE of $67–115/MWh, the ITC plus energy community adder can bring LCOE into the $50–80/MWh range — directly competitive with combined-cycle gas </w:t>
      </w:r>
      <w:proofErr w:type="gramStart"/>
      <w:r>
        <w:rPr>
          <w:rFonts w:ascii="Inter" w:eastAsia="Inter" w:hAnsi="Inter" w:cs="Inter"/>
          <w:sz w:val="16"/>
          <w:szCs w:val="16"/>
        </w:rPr>
        <w:t>turbines.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50,51,52]</w:t>
      </w:r>
    </w:p>
    <w:p w14:paraId="000000BB" w14:textId="77777777" w:rsidR="002C014C" w:rsidRDefault="00000000">
      <w:pPr>
        <w:pStyle w:val="Heading2"/>
        <w:rPr>
          <w:rFonts w:ascii="Inter" w:eastAsia="Inter" w:hAnsi="Inter" w:cs="Inter"/>
          <w:sz w:val="18"/>
          <w:szCs w:val="18"/>
        </w:rPr>
      </w:pPr>
      <w:r>
        <w:rPr>
          <w:rFonts w:ascii="Inter" w:eastAsia="Inter" w:hAnsi="Inter" w:cs="Inter"/>
          <w:sz w:val="18"/>
          <w:szCs w:val="18"/>
        </w:rPr>
        <w:t>4.2 Sovereignty and Economic Development Benefits</w:t>
      </w:r>
    </w:p>
    <w:p w14:paraId="000000BC"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Tribal energy sovereignty: ability to own generation, sell power off-Reservation, and reduce dependence on third-party </w:t>
      </w:r>
      <w:proofErr w:type="gramStart"/>
      <w:r>
        <w:rPr>
          <w:rFonts w:ascii="Inter" w:eastAsia="Inter" w:hAnsi="Inter" w:cs="Inter"/>
          <w:color w:val="000000"/>
          <w:sz w:val="16"/>
          <w:szCs w:val="16"/>
        </w:rPr>
        <w:t>utilities.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16,53]</w:t>
      </w:r>
    </w:p>
    <w:p w14:paraId="000000BD"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Construction-phase employment: prevailing wage and apprenticeship requirements convert into Tribal-member workforce development </w:t>
      </w:r>
      <w:proofErr w:type="gramStart"/>
      <w:r>
        <w:rPr>
          <w:rFonts w:ascii="Inter" w:eastAsia="Inter" w:hAnsi="Inter" w:cs="Inter"/>
          <w:color w:val="000000"/>
          <w:sz w:val="16"/>
          <w:szCs w:val="16"/>
        </w:rPr>
        <w:t>opportunities.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19,53]</w:t>
      </w:r>
    </w:p>
    <w:p w14:paraId="000000BE"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Long-term revenue: PPA revenue or wholesale market revenue accrues to the Tribe for the 60+ year life of a nuclear </w:t>
      </w:r>
      <w:proofErr w:type="gramStart"/>
      <w:r>
        <w:rPr>
          <w:rFonts w:ascii="Inter" w:eastAsia="Inter" w:hAnsi="Inter" w:cs="Inter"/>
          <w:color w:val="000000"/>
          <w:sz w:val="16"/>
          <w:szCs w:val="16"/>
        </w:rPr>
        <w:t>plant.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16,51]</w:t>
      </w:r>
    </w:p>
    <w:p w14:paraId="000000BF"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Property tax / PILOT: Tribal lands are not subject to state property tax — the tax-equivalent value can be retained as project economics or revenue-shared with surrounding communities at the Tribe's </w:t>
      </w:r>
      <w:proofErr w:type="gramStart"/>
      <w:r>
        <w:rPr>
          <w:rFonts w:ascii="Inter" w:eastAsia="Inter" w:hAnsi="Inter" w:cs="Inter"/>
          <w:color w:val="000000"/>
          <w:sz w:val="16"/>
          <w:szCs w:val="16"/>
        </w:rPr>
        <w:t>discretion.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47,53]</w:t>
      </w:r>
    </w:p>
    <w:p w14:paraId="000000C0" w14:textId="77777777" w:rsidR="002C014C" w:rsidRDefault="00000000">
      <w:pPr>
        <w:pStyle w:val="Heading2"/>
        <w:rPr>
          <w:rFonts w:ascii="Inter" w:eastAsia="Inter" w:hAnsi="Inter" w:cs="Inter"/>
          <w:sz w:val="18"/>
          <w:szCs w:val="18"/>
        </w:rPr>
      </w:pPr>
      <w:r>
        <w:rPr>
          <w:rFonts w:ascii="Inter" w:eastAsia="Inter" w:hAnsi="Inter" w:cs="Inter"/>
          <w:sz w:val="18"/>
          <w:szCs w:val="18"/>
        </w:rPr>
        <w:t>4.3 Risk Mitigation</w:t>
      </w:r>
    </w:p>
    <w:p w14:paraId="000000C1"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DOE TEFP loan guarantees lower the cost of debt by 100–300 bps versus commercial </w:t>
      </w:r>
      <w:proofErr w:type="gramStart"/>
      <w:r>
        <w:rPr>
          <w:rFonts w:ascii="Inter" w:eastAsia="Inter" w:hAnsi="Inter" w:cs="Inter"/>
          <w:color w:val="000000"/>
          <w:sz w:val="16"/>
          <w:szCs w:val="16"/>
        </w:rPr>
        <w:t>debt.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25,59]</w:t>
      </w:r>
    </w:p>
    <w:p w14:paraId="000000C2"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Direct Pay eliminates tax-equity transaction costs (typically 8–15% of credit value). Per Crux Climate market data, transferable credits clear at roughly 92–94 cents on the dollar in 2024–2025 — Direct Pay's full 100-cent value is therefore worth $55–165M on a $1B SMR project's ITC vs. selling the credit.</w:t>
      </w:r>
      <w:r>
        <w:rPr>
          <w:rFonts w:ascii="Inter" w:eastAsia="Inter" w:hAnsi="Inter" w:cs="Inter"/>
          <w:color w:val="0563C1"/>
          <w:sz w:val="16"/>
          <w:szCs w:val="16"/>
          <w:vertAlign w:val="superscript"/>
        </w:rPr>
        <w:t>[17]</w:t>
      </w:r>
    </w:p>
    <w:p w14:paraId="000000C3"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Domestic content adder reduces exposure to overseas supply-chain </w:t>
      </w:r>
      <w:proofErr w:type="gramStart"/>
      <w:r>
        <w:rPr>
          <w:rFonts w:ascii="Inter" w:eastAsia="Inter" w:hAnsi="Inter" w:cs="Inter"/>
          <w:color w:val="000000"/>
          <w:sz w:val="16"/>
          <w:szCs w:val="16"/>
        </w:rPr>
        <w:t>disruption.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18,23]</w:t>
      </w:r>
    </w:p>
    <w:p w14:paraId="000000C4" w14:textId="77777777" w:rsidR="002C014C" w:rsidRDefault="00000000">
      <w:pPr>
        <w:pStyle w:val="Heading2"/>
        <w:rPr>
          <w:rFonts w:ascii="Inter" w:eastAsia="Inter" w:hAnsi="Inter" w:cs="Inter"/>
          <w:sz w:val="18"/>
          <w:szCs w:val="18"/>
        </w:rPr>
      </w:pPr>
      <w:r>
        <w:rPr>
          <w:rFonts w:ascii="Inter" w:eastAsia="Inter" w:hAnsi="Inter" w:cs="Inter"/>
          <w:sz w:val="18"/>
          <w:szCs w:val="18"/>
        </w:rPr>
        <w:t>4.4 Tribal Lands Often Pre-Qualify as Energy Communities</w:t>
      </w:r>
    </w:p>
    <w:p w14:paraId="000000C5" w14:textId="77777777" w:rsidR="002C014C" w:rsidRDefault="00000000">
      <w:pPr>
        <w:spacing w:after="120"/>
        <w:rPr>
          <w:rFonts w:ascii="Inter" w:eastAsia="Inter" w:hAnsi="Inter" w:cs="Inter"/>
          <w:sz w:val="16"/>
          <w:szCs w:val="16"/>
        </w:rPr>
      </w:pPr>
      <w:r>
        <w:rPr>
          <w:rFonts w:ascii="Inter" w:eastAsia="Inter" w:hAnsi="Inter" w:cs="Inter"/>
          <w:sz w:val="16"/>
          <w:szCs w:val="16"/>
        </w:rPr>
        <w:t>A meaningful structural advantage for Tribal nuclear projects is that many Tribal lands automatically qualify for the +10 pp Energy Community adder due to historical fossil fuel and uranium mining activity:</w:t>
      </w:r>
    </w:p>
    <w:p w14:paraId="000000C6"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From 1950 to 1980, of all U.S. </w:t>
      </w:r>
      <w:proofErr w:type="spellStart"/>
      <w:r>
        <w:rPr>
          <w:rFonts w:ascii="Inter" w:eastAsia="Inter" w:hAnsi="Inter" w:cs="Inter"/>
          <w:color w:val="000000"/>
          <w:sz w:val="16"/>
          <w:szCs w:val="16"/>
        </w:rPr>
        <w:t>defense</w:t>
      </w:r>
      <w:proofErr w:type="spellEnd"/>
      <w:r>
        <w:rPr>
          <w:rFonts w:ascii="Inter" w:eastAsia="Inter" w:hAnsi="Inter" w:cs="Inter"/>
          <w:color w:val="000000"/>
          <w:sz w:val="16"/>
          <w:szCs w:val="16"/>
        </w:rPr>
        <w:t xml:space="preserve">-related uranium mines located on Tribal lands, 96% were on the Navajo Nation on Tribal </w:t>
      </w:r>
      <w:proofErr w:type="gramStart"/>
      <w:r>
        <w:rPr>
          <w:rFonts w:ascii="Inter" w:eastAsia="Inter" w:hAnsi="Inter" w:cs="Inter"/>
          <w:color w:val="000000"/>
          <w:sz w:val="16"/>
          <w:szCs w:val="16"/>
        </w:rPr>
        <w:t>Lands,,</w:t>
      </w:r>
      <w:proofErr w:type="gramEnd"/>
      <w:r>
        <w:rPr>
          <w:rFonts w:ascii="Inter" w:eastAsia="Inter" w:hAnsi="Inter" w:cs="Inter"/>
          <w:color w:val="000000"/>
          <w:sz w:val="16"/>
          <w:szCs w:val="16"/>
        </w:rPr>
        <w:t xml:space="preserve"> with the remainder on the lands of the Pueblo of Laguna, Pueblo of Zuni, Hualapai Tribe, Tohono O’odham Nation, Spokane Tribe, and Ute Indian </w:t>
      </w:r>
      <w:proofErr w:type="gramStart"/>
      <w:r>
        <w:rPr>
          <w:rFonts w:ascii="Inter" w:eastAsia="Inter" w:hAnsi="Inter" w:cs="Inter"/>
          <w:color w:val="000000"/>
          <w:sz w:val="16"/>
          <w:szCs w:val="16"/>
        </w:rPr>
        <w:t>Tribe.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16,39]</w:t>
      </w:r>
    </w:p>
    <w:p w14:paraId="000000C7"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Many of these former uranium-mining sites qualify as brownfields under the Energy Community Bonus Brownfield Category, satisfying CERCLA's brownfield </w:t>
      </w:r>
      <w:proofErr w:type="gramStart"/>
      <w:r>
        <w:rPr>
          <w:rFonts w:ascii="Inter" w:eastAsia="Inter" w:hAnsi="Inter" w:cs="Inter"/>
          <w:color w:val="000000"/>
          <w:sz w:val="16"/>
          <w:szCs w:val="16"/>
        </w:rPr>
        <w:t>definition.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4,22,39]</w:t>
      </w:r>
    </w:p>
    <w:p w14:paraId="000000C8"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DOE/NETL's Energy Community Mapping Tool (https://arcgis.netl.doe.gov/portal/apps/experiencebuilder/experience/?id=785ee47a99d24b36b405acd03d97a5f9) allows project developers to verify eligibility by site coordinates.</w:t>
      </w:r>
      <w:r>
        <w:rPr>
          <w:rFonts w:ascii="Inter" w:eastAsia="Inter" w:hAnsi="Inter" w:cs="Inter"/>
          <w:color w:val="0563C1"/>
          <w:sz w:val="16"/>
          <w:szCs w:val="16"/>
          <w:vertAlign w:val="superscript"/>
        </w:rPr>
        <w:t>[15]</w:t>
      </w:r>
    </w:p>
    <w:p w14:paraId="000000C9"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Tribal lands hosting closed coal power plants or operating in fossil-fuel statistical areas may also qualify under the coal-closure or statistical-area </w:t>
      </w:r>
      <w:proofErr w:type="gramStart"/>
      <w:r>
        <w:rPr>
          <w:rFonts w:ascii="Inter" w:eastAsia="Inter" w:hAnsi="Inter" w:cs="Inter"/>
          <w:color w:val="000000"/>
          <w:sz w:val="16"/>
          <w:szCs w:val="16"/>
        </w:rPr>
        <w:t>categories.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4,15,22]</w:t>
      </w:r>
    </w:p>
    <w:p w14:paraId="000000CA" w14:textId="77777777" w:rsidR="002C014C" w:rsidRDefault="00000000">
      <w:pPr>
        <w:spacing w:after="120"/>
        <w:rPr>
          <w:rFonts w:ascii="Inter" w:eastAsia="Inter" w:hAnsi="Inter" w:cs="Inter"/>
          <w:sz w:val="16"/>
          <w:szCs w:val="16"/>
        </w:rPr>
      </w:pPr>
      <w:r>
        <w:rPr>
          <w:rFonts w:ascii="Inter" w:eastAsia="Inter" w:hAnsi="Inter" w:cs="Inter"/>
          <w:sz w:val="16"/>
          <w:szCs w:val="16"/>
        </w:rPr>
        <w:t>This natural overlap means many Tribal nuclear projects can capture the +10 pp Energy Community adder without strategic site selection, bringing the standard ITC stack to 50% (30% base + 10% domestic content + 10% energy community) before any project-specific work.</w:t>
      </w:r>
    </w:p>
    <w:p w14:paraId="000000CB" w14:textId="77777777" w:rsidR="002C014C" w:rsidRDefault="00000000">
      <w:pPr>
        <w:pStyle w:val="Heading2"/>
        <w:rPr>
          <w:rFonts w:ascii="Inter" w:eastAsia="Inter" w:hAnsi="Inter" w:cs="Inter"/>
          <w:sz w:val="18"/>
          <w:szCs w:val="18"/>
        </w:rPr>
      </w:pPr>
      <w:r>
        <w:rPr>
          <w:rFonts w:ascii="Inter" w:eastAsia="Inter" w:hAnsi="Inter" w:cs="Inter"/>
          <w:sz w:val="18"/>
          <w:szCs w:val="18"/>
        </w:rPr>
        <w:t>4.5 Strategic Non-Electric End Uses</w:t>
      </w:r>
    </w:p>
    <w:p w14:paraId="000000CC" w14:textId="77777777" w:rsidR="002C014C" w:rsidRDefault="00000000">
      <w:pPr>
        <w:spacing w:after="120"/>
        <w:rPr>
          <w:rFonts w:ascii="Inter" w:eastAsia="Inter" w:hAnsi="Inter" w:cs="Inter"/>
          <w:sz w:val="16"/>
          <w:szCs w:val="16"/>
        </w:rPr>
      </w:pPr>
      <w:r>
        <w:rPr>
          <w:rFonts w:ascii="Inter" w:eastAsia="Inter" w:hAnsi="Inter" w:cs="Inter"/>
          <w:sz w:val="16"/>
          <w:szCs w:val="16"/>
        </w:rPr>
        <w:t>Beyond grid electricity, advanced reactors and SMRs on Tribal lands can deliver value through non-electric end uses that are particularly relevant for remote Alaska Native villages or Tribal industrial development:</w:t>
      </w:r>
    </w:p>
    <w:p w14:paraId="000000CD"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Process heat for industrial parks (e.g., enhanced oil recovery, cement, ammonia, advanced manufacturing on Tribal lands</w:t>
      </w:r>
      <w:proofErr w:type="gramStart"/>
      <w:r>
        <w:rPr>
          <w:rFonts w:ascii="Inter" w:eastAsia="Inter" w:hAnsi="Inter" w:cs="Inter"/>
          <w:color w:val="000000"/>
          <w:sz w:val="16"/>
          <w:szCs w:val="16"/>
        </w:rPr>
        <w:t>).</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9,16]</w:t>
      </w:r>
    </w:p>
    <w:p w14:paraId="000000CE"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Hydrogen production via electrolysis or thermochemical cycles. Note: §45V clean hydrogen credit is sunsetting under OBBBA for projects beginning construction after Dec 31, 2027, so the timing window for hydrogen-pairing tax incentives is </w:t>
      </w:r>
      <w:proofErr w:type="gramStart"/>
      <w:r>
        <w:rPr>
          <w:rFonts w:ascii="Inter" w:eastAsia="Inter" w:hAnsi="Inter" w:cs="Inter"/>
          <w:color w:val="000000"/>
          <w:sz w:val="16"/>
          <w:szCs w:val="16"/>
        </w:rPr>
        <w:t>narrow.</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41,45,46]</w:t>
      </w:r>
    </w:p>
    <w:p w14:paraId="000000CF"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Desalination for water-stressed Tribal lands in the Southwest.</w:t>
      </w:r>
    </w:p>
    <w:p w14:paraId="000000D0"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District heating for Tribal community facilities, particularly in cold-climate Alaska Native villages where diesel displacement provides additional economic value.</w:t>
      </w:r>
      <w:r>
        <w:rPr>
          <w:rFonts w:ascii="Inter" w:eastAsia="Inter" w:hAnsi="Inter" w:cs="Inter"/>
          <w:color w:val="0563C1"/>
          <w:sz w:val="16"/>
          <w:szCs w:val="16"/>
          <w:vertAlign w:val="superscript"/>
        </w:rPr>
        <w:t>[16]</w:t>
      </w:r>
    </w:p>
    <w:p w14:paraId="000000D1" w14:textId="77777777" w:rsidR="002C014C" w:rsidRDefault="00000000">
      <w:pPr>
        <w:numPr>
          <w:ilvl w:val="0"/>
          <w:numId w:val="1"/>
        </w:numPr>
        <w:pBdr>
          <w:top w:val="nil"/>
          <w:left w:val="nil"/>
          <w:bottom w:val="nil"/>
          <w:right w:val="nil"/>
          <w:between w:val="nil"/>
        </w:pBdr>
        <w:spacing w:after="80"/>
        <w:rPr>
          <w:rFonts w:ascii="Inter" w:eastAsia="Inter" w:hAnsi="Inter" w:cs="Inter"/>
          <w:sz w:val="16"/>
          <w:szCs w:val="16"/>
        </w:rPr>
      </w:pPr>
      <w:r>
        <w:rPr>
          <w:rFonts w:ascii="Inter" w:eastAsia="Inter" w:hAnsi="Inter" w:cs="Inter"/>
          <w:color w:val="000000"/>
          <w:sz w:val="16"/>
          <w:szCs w:val="16"/>
        </w:rPr>
        <w:t xml:space="preserve">Data </w:t>
      </w:r>
      <w:proofErr w:type="spellStart"/>
      <w:r>
        <w:rPr>
          <w:rFonts w:ascii="Inter" w:eastAsia="Inter" w:hAnsi="Inter" w:cs="Inter"/>
          <w:color w:val="000000"/>
          <w:sz w:val="16"/>
          <w:szCs w:val="16"/>
        </w:rPr>
        <w:t>center</w:t>
      </w:r>
      <w:proofErr w:type="spellEnd"/>
      <w:r>
        <w:rPr>
          <w:rFonts w:ascii="Inter" w:eastAsia="Inter" w:hAnsi="Inter" w:cs="Inter"/>
          <w:color w:val="000000"/>
          <w:sz w:val="16"/>
          <w:szCs w:val="16"/>
        </w:rPr>
        <w:t xml:space="preserve"> co-location: </w:t>
      </w:r>
      <w:proofErr w:type="spellStart"/>
      <w:r>
        <w:rPr>
          <w:rFonts w:ascii="Inter" w:eastAsia="Inter" w:hAnsi="Inter" w:cs="Inter"/>
          <w:color w:val="000000"/>
          <w:sz w:val="16"/>
          <w:szCs w:val="16"/>
        </w:rPr>
        <w:t>nuclear's</w:t>
      </w:r>
      <w:proofErr w:type="spellEnd"/>
      <w:r>
        <w:rPr>
          <w:rFonts w:ascii="Inter" w:eastAsia="Inter" w:hAnsi="Inter" w:cs="Inter"/>
          <w:color w:val="000000"/>
          <w:sz w:val="16"/>
          <w:szCs w:val="16"/>
        </w:rPr>
        <w:t xml:space="preserve"> firm, low-carbon power profile is increasingly attractive to hyperscale data </w:t>
      </w:r>
      <w:proofErr w:type="spellStart"/>
      <w:r>
        <w:rPr>
          <w:rFonts w:ascii="Inter" w:eastAsia="Inter" w:hAnsi="Inter" w:cs="Inter"/>
          <w:color w:val="000000"/>
          <w:sz w:val="16"/>
          <w:szCs w:val="16"/>
        </w:rPr>
        <w:t>center</w:t>
      </w:r>
      <w:proofErr w:type="spellEnd"/>
      <w:r>
        <w:rPr>
          <w:rFonts w:ascii="Inter" w:eastAsia="Inter" w:hAnsi="Inter" w:cs="Inter"/>
          <w:color w:val="000000"/>
          <w:sz w:val="16"/>
          <w:szCs w:val="16"/>
        </w:rPr>
        <w:t xml:space="preserve"> operators. Tribal nations with land, water, and a nuclear plant are positioned to attract data </w:t>
      </w:r>
      <w:proofErr w:type="spellStart"/>
      <w:r>
        <w:rPr>
          <w:rFonts w:ascii="Inter" w:eastAsia="Inter" w:hAnsi="Inter" w:cs="Inter"/>
          <w:color w:val="000000"/>
          <w:sz w:val="16"/>
          <w:szCs w:val="16"/>
        </w:rPr>
        <w:t>center</w:t>
      </w:r>
      <w:proofErr w:type="spellEnd"/>
      <w:r>
        <w:rPr>
          <w:rFonts w:ascii="Inter" w:eastAsia="Inter" w:hAnsi="Inter" w:cs="Inter"/>
          <w:color w:val="000000"/>
          <w:sz w:val="16"/>
          <w:szCs w:val="16"/>
        </w:rPr>
        <w:t xml:space="preserve"> anchor </w:t>
      </w:r>
      <w:proofErr w:type="gramStart"/>
      <w:r>
        <w:rPr>
          <w:rFonts w:ascii="Inter" w:eastAsia="Inter" w:hAnsi="Inter" w:cs="Inter"/>
          <w:color w:val="000000"/>
          <w:sz w:val="16"/>
          <w:szCs w:val="16"/>
        </w:rPr>
        <w:t>tenants.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16,50]</w:t>
      </w:r>
    </w:p>
    <w:p w14:paraId="000000D2" w14:textId="77777777" w:rsidR="002C014C" w:rsidRDefault="002C014C">
      <w:pPr>
        <w:pBdr>
          <w:top w:val="nil"/>
          <w:left w:val="nil"/>
          <w:bottom w:val="nil"/>
          <w:right w:val="nil"/>
          <w:between w:val="nil"/>
        </w:pBdr>
        <w:spacing w:after="80"/>
        <w:rPr>
          <w:rFonts w:ascii="Inter" w:eastAsia="Inter" w:hAnsi="Inter" w:cs="Inter"/>
          <w:color w:val="0563C1"/>
          <w:sz w:val="16"/>
          <w:szCs w:val="16"/>
          <w:vertAlign w:val="superscript"/>
        </w:rPr>
      </w:pPr>
    </w:p>
    <w:p w14:paraId="000000D3" w14:textId="77777777" w:rsidR="002C014C" w:rsidRDefault="002C014C">
      <w:pPr>
        <w:pBdr>
          <w:top w:val="nil"/>
          <w:left w:val="nil"/>
          <w:bottom w:val="nil"/>
          <w:right w:val="nil"/>
          <w:between w:val="nil"/>
        </w:pBdr>
        <w:spacing w:after="80"/>
        <w:rPr>
          <w:rFonts w:ascii="Inter" w:eastAsia="Inter" w:hAnsi="Inter" w:cs="Inter"/>
          <w:sz w:val="16"/>
          <w:szCs w:val="16"/>
        </w:rPr>
      </w:pPr>
    </w:p>
    <w:p w14:paraId="000000D4" w14:textId="77777777" w:rsidR="002C014C" w:rsidRDefault="00000000">
      <w:pPr>
        <w:pStyle w:val="Heading1"/>
        <w:rPr>
          <w:rFonts w:ascii="Inter" w:eastAsia="Inter" w:hAnsi="Inter" w:cs="Inter"/>
          <w:sz w:val="20"/>
          <w:szCs w:val="20"/>
        </w:rPr>
      </w:pPr>
      <w:r>
        <w:rPr>
          <w:rFonts w:ascii="Inter" w:eastAsia="Inter" w:hAnsi="Inter" w:cs="Inter"/>
          <w:sz w:val="20"/>
          <w:szCs w:val="20"/>
        </w:rPr>
        <w:lastRenderedPageBreak/>
        <w:t>5. Licensing, Tribal Regulation, and Mapping Resources</w:t>
      </w:r>
    </w:p>
    <w:p w14:paraId="000000D5" w14:textId="77777777" w:rsidR="002C014C" w:rsidRDefault="00000000">
      <w:pPr>
        <w:pStyle w:val="Heading2"/>
        <w:rPr>
          <w:rFonts w:ascii="Inter" w:eastAsia="Inter" w:hAnsi="Inter" w:cs="Inter"/>
          <w:sz w:val="18"/>
          <w:szCs w:val="18"/>
        </w:rPr>
      </w:pPr>
      <w:r>
        <w:rPr>
          <w:rFonts w:ascii="Inter" w:eastAsia="Inter" w:hAnsi="Inter" w:cs="Inter"/>
          <w:sz w:val="18"/>
          <w:szCs w:val="18"/>
        </w:rPr>
        <w:t>5.1 Nuclear Licensing Authority on Tribal Lands</w:t>
      </w:r>
    </w:p>
    <w:p w14:paraId="000000D6"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U.S. Nuclear Regulatory Commission (NRC) is the licensing authority for any commercial nuclear reactor sited on Tribal land, just as it is anywhere else in the United </w:t>
      </w:r>
      <w:proofErr w:type="gramStart"/>
      <w:r>
        <w:rPr>
          <w:rFonts w:ascii="Inter" w:eastAsia="Inter" w:hAnsi="Inter" w:cs="Inter"/>
          <w:sz w:val="16"/>
          <w:szCs w:val="16"/>
        </w:rPr>
        <w:t>States.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26,27]</w:t>
      </w:r>
    </w:p>
    <w:p w14:paraId="000000D7"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Under the Atomic Energy Act of 1954, the NRC has exclusive jurisdiction over construction permits, operating licenses, and combined licenses for commercial power reactors (10 CFR Part 50 and Part 52), research reactors, fuel cycle facilities, and spent-fuel storage installations (10 CFR Part 72). This authority extends to Tribal lands, which the NRC treats as areas of exclusive federal jurisdiction. The NRC has stated that federally recognized Tribes and their lands or reservations under exclusive federal jurisdiction are subject only to NRC regulatory authority for licensed reactor and materials activities. States cannot license a reactor on Tribal land even where the state is otherwise an “Agreement State,” and Tribes cannot supplant that licensing regime with their </w:t>
      </w:r>
      <w:proofErr w:type="gramStart"/>
      <w:r>
        <w:rPr>
          <w:rFonts w:ascii="Inter" w:eastAsia="Inter" w:hAnsi="Inter" w:cs="Inter"/>
          <w:sz w:val="16"/>
          <w:szCs w:val="16"/>
        </w:rPr>
        <w:t>own.</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27,29,30]</w:t>
      </w:r>
    </w:p>
    <w:p w14:paraId="000000D8" w14:textId="77777777" w:rsidR="002C014C" w:rsidRDefault="00000000">
      <w:pPr>
        <w:spacing w:after="120"/>
        <w:rPr>
          <w:rFonts w:ascii="Inter" w:eastAsia="Inter" w:hAnsi="Inter" w:cs="Inter"/>
          <w:sz w:val="16"/>
          <w:szCs w:val="16"/>
        </w:rPr>
      </w:pPr>
      <w:r>
        <w:rPr>
          <w:rFonts w:ascii="Inter" w:eastAsia="Inter" w:hAnsi="Inter" w:cs="Inter"/>
          <w:b/>
          <w:bCs/>
          <w:sz w:val="16"/>
          <w:szCs w:val="16"/>
        </w:rPr>
        <w:t>Consultation obligations:</w:t>
      </w:r>
      <w:r>
        <w:rPr>
          <w:rFonts w:ascii="Inter" w:eastAsia="Inter" w:hAnsi="Inter" w:cs="Inter"/>
          <w:sz w:val="16"/>
          <w:szCs w:val="16"/>
        </w:rPr>
        <w:t xml:space="preserve"> What the NRC does provide is a structured Tribal consultation process. Under the NRC’s 2017 Tribal Policy Statement (82 FR 2402), NEPA, and Section 106 of the National Historic Preservation Act, NRC must engage in government-to-government consultation with federally recognized Tribes during reactor licensing reviews. The NRC maintains a Tribal Liaison Program and a designated tribal liaison map identifying Tribes within 50 miles of nuclear power plants. For a Tribal-sited reactor, the host Tribe is both the project sponsor and the consulting government — a unique posture that makes the consultation framework an enabling tool rather than a </w:t>
      </w:r>
      <w:proofErr w:type="gramStart"/>
      <w:r>
        <w:rPr>
          <w:rFonts w:ascii="Inter" w:eastAsia="Inter" w:hAnsi="Inter" w:cs="Inter"/>
          <w:sz w:val="16"/>
          <w:szCs w:val="16"/>
        </w:rPr>
        <w:t>hurdle.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26,28]</w:t>
      </w:r>
    </w:p>
    <w:p w14:paraId="000000D9" w14:textId="77777777" w:rsidR="002C014C" w:rsidRDefault="00000000">
      <w:pPr>
        <w:spacing w:after="120"/>
        <w:rPr>
          <w:rFonts w:ascii="Inter" w:eastAsia="Inter" w:hAnsi="Inter" w:cs="Inter"/>
          <w:sz w:val="16"/>
          <w:szCs w:val="16"/>
        </w:rPr>
      </w:pPr>
      <w:r>
        <w:rPr>
          <w:rFonts w:ascii="Inter" w:eastAsia="Inter" w:hAnsi="Inter" w:cs="Inter"/>
          <w:b/>
          <w:bCs/>
          <w:sz w:val="16"/>
          <w:szCs w:val="16"/>
        </w:rPr>
        <w:t>Practical implication for project planning:</w:t>
      </w:r>
      <w:r>
        <w:rPr>
          <w:rFonts w:ascii="Inter" w:eastAsia="Inter" w:hAnsi="Inter" w:cs="Inter"/>
          <w:sz w:val="16"/>
          <w:szCs w:val="16"/>
        </w:rPr>
        <w:t xml:space="preserve"> a Tribal nuclear project follows the same NRC licensing pathway (Part 50, Part 52, or Part 53 for advanced reactor) once that framework is finalized) as any other commercial project, including NEPA review by NRC as the lead federal agency. The Tribe’s sovereign tools come into play through siting agreements, environmental codes that operate alongside (not in place of) NRC requirements, and the consultation process. Budget the NRC licensing timeline accordingly — typically 36–48 months for advanced reactors under the current Part 52 framework, faster under Part 53 once finalized.</w:t>
      </w:r>
      <w:r>
        <w:rPr>
          <w:rFonts w:ascii="Inter" w:eastAsia="Inter" w:hAnsi="Inter" w:cs="Inter"/>
          <w:color w:val="0563C1"/>
          <w:sz w:val="16"/>
          <w:szCs w:val="16"/>
          <w:vertAlign w:val="superscript"/>
        </w:rPr>
        <w:t>[58]</w:t>
      </w:r>
    </w:p>
    <w:p w14:paraId="000000DA" w14:textId="77777777" w:rsidR="002C014C" w:rsidRDefault="00000000">
      <w:pPr>
        <w:pStyle w:val="Heading2"/>
        <w:rPr>
          <w:rFonts w:ascii="Inter" w:eastAsia="Inter" w:hAnsi="Inter" w:cs="Inter"/>
          <w:sz w:val="18"/>
          <w:szCs w:val="18"/>
        </w:rPr>
      </w:pPr>
      <w:r>
        <w:rPr>
          <w:rFonts w:ascii="Inter" w:eastAsia="Inter" w:hAnsi="Inter" w:cs="Inter"/>
          <w:sz w:val="18"/>
          <w:szCs w:val="18"/>
        </w:rPr>
        <w:t>5.2 Tribes That Have Enacted Nuclear-Specific Laws</w:t>
      </w:r>
    </w:p>
    <w:p w14:paraId="000000DB" w14:textId="77777777" w:rsidR="002C014C" w:rsidRDefault="00000000">
      <w:pPr>
        <w:spacing w:after="120"/>
        <w:rPr>
          <w:rFonts w:ascii="Inter" w:eastAsia="Inter" w:hAnsi="Inter" w:cs="Inter"/>
          <w:sz w:val="16"/>
          <w:szCs w:val="16"/>
        </w:rPr>
      </w:pPr>
      <w:r>
        <w:rPr>
          <w:rFonts w:ascii="Inter" w:eastAsia="Inter" w:hAnsi="Inter" w:cs="Inter"/>
          <w:sz w:val="16"/>
          <w:szCs w:val="16"/>
        </w:rPr>
        <w:t>Tribal nuclear-related laws on the books are nearly all restrictive rather than enabling. Tribal nuclear lawmaking has been shaped by uranium-mining and waste-storage history, not new reactor deployment. For a developer evaluating site selection, this is the most important screen to run early.</w:t>
      </w:r>
    </w:p>
    <w:p w14:paraId="000000DC" w14:textId="77777777" w:rsidR="002C014C" w:rsidRDefault="00000000">
      <w:pPr>
        <w:spacing w:after="120"/>
        <w:rPr>
          <w:rFonts w:ascii="Inter" w:eastAsia="Inter" w:hAnsi="Inter" w:cs="Inter"/>
          <w:sz w:val="16"/>
          <w:szCs w:val="16"/>
        </w:rPr>
      </w:pPr>
      <w:r>
        <w:rPr>
          <w:rFonts w:ascii="Inter" w:eastAsia="Inter" w:hAnsi="Inter" w:cs="Inter"/>
          <w:b/>
          <w:bCs/>
          <w:sz w:val="16"/>
          <w:szCs w:val="16"/>
        </w:rPr>
        <w:t>Navajo Nation — the most developed Tribal nuclear legal regime:</w:t>
      </w:r>
    </w:p>
    <w:p w14:paraId="000000DD"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Diné Natural Resources Protection Act of 2005 (codified at Title 18 of the Navajo Nation Code) bans uranium mining and processing within the Navajo Nation and Navajo Indian Country. It was passed in response to the legacy of more than 500 abandoned uranium mines and decades of associated health harms. The Radioactive and Related Substances Equipment, Vehicles, Persons, and Materials Transportation Act of 2012 layers on top, prohibiting the transportation of radioactive materials across Navajo lands without compliance with tribal notice and approval requirements. President Buu Nygren issued an executive order in 2024 directing enforcement of both </w:t>
      </w:r>
      <w:proofErr w:type="gramStart"/>
      <w:r>
        <w:rPr>
          <w:rFonts w:ascii="Inter" w:eastAsia="Inter" w:hAnsi="Inter" w:cs="Inter"/>
          <w:sz w:val="16"/>
          <w:szCs w:val="16"/>
        </w:rPr>
        <w:t>laws.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32,33,39]</w:t>
      </w:r>
    </w:p>
    <w:p w14:paraId="000000DE"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Two caveats for developers: (1) federal </w:t>
      </w:r>
      <w:proofErr w:type="spellStart"/>
      <w:r>
        <w:rPr>
          <w:rFonts w:ascii="Inter" w:eastAsia="Inter" w:hAnsi="Inter" w:cs="Inter"/>
          <w:sz w:val="16"/>
          <w:szCs w:val="16"/>
        </w:rPr>
        <w:t>preemption</w:t>
      </w:r>
      <w:proofErr w:type="spellEnd"/>
      <w:r>
        <w:rPr>
          <w:rFonts w:ascii="Inter" w:eastAsia="Inter" w:hAnsi="Inter" w:cs="Inter"/>
          <w:sz w:val="16"/>
          <w:szCs w:val="16"/>
        </w:rPr>
        <w:t xml:space="preserve"> under the AEA and Hazardous Materials Transportation Act limits the enforceability of the transportation ban against NRC-licensed shipments, as illustrated by the 2024 Energy Fuels uranium transport dispute; (2) the bans target mining, milling, processing, and transport — not reactor operation per se — but they signal a strong political posture against the broader nuclear fuel cycle. A reactor proposal on Navajo land would face significant political headwinds even if technically distinguishable from the prohibited </w:t>
      </w:r>
      <w:proofErr w:type="gramStart"/>
      <w:r>
        <w:rPr>
          <w:rFonts w:ascii="Inter" w:eastAsia="Inter" w:hAnsi="Inter" w:cs="Inter"/>
          <w:sz w:val="16"/>
          <w:szCs w:val="16"/>
        </w:rPr>
        <w:t>activities.</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30,33]</w:t>
      </w:r>
    </w:p>
    <w:p w14:paraId="000000DF" w14:textId="77777777" w:rsidR="002C014C" w:rsidRDefault="00000000">
      <w:pPr>
        <w:spacing w:after="120"/>
        <w:rPr>
          <w:rFonts w:ascii="Inter" w:eastAsia="Inter" w:hAnsi="Inter" w:cs="Inter"/>
          <w:sz w:val="16"/>
          <w:szCs w:val="16"/>
        </w:rPr>
      </w:pPr>
      <w:r>
        <w:rPr>
          <w:rFonts w:ascii="Inter" w:eastAsia="Inter" w:hAnsi="Inter" w:cs="Inter"/>
          <w:b/>
          <w:bCs/>
          <w:sz w:val="16"/>
          <w:szCs w:val="16"/>
        </w:rPr>
        <w:t>Other Tribes with restrictive nuclear positions:</w:t>
      </w:r>
    </w:p>
    <w:p w14:paraId="000000E0" w14:textId="77777777" w:rsidR="002C014C" w:rsidRDefault="00000000">
      <w:pPr>
        <w:spacing w:after="120"/>
        <w:rPr>
          <w:rFonts w:ascii="Inter" w:eastAsia="Inter" w:hAnsi="Inter" w:cs="Inter"/>
          <w:sz w:val="16"/>
          <w:szCs w:val="16"/>
        </w:rPr>
      </w:pPr>
      <w:r>
        <w:rPr>
          <w:rFonts w:ascii="Inter" w:eastAsia="Inter" w:hAnsi="Inter" w:cs="Inter"/>
          <w:sz w:val="16"/>
          <w:szCs w:val="16"/>
        </w:rPr>
        <w:t>Several Tribes have, through tribal council resolution or referendum, formally opposed nuclear waste storage or specific nuclear projects. The Mescalero Apache Tribe (NM) rejected a Monitored Retrievable Storage (MRS) facility by a 490–362 referendum in 1995 after years of negotiation. The Tonkawa Tribe (OK) held a popular referendum in 1994 rejecting MRS hosting.</w:t>
      </w:r>
      <w:r>
        <w:rPr>
          <w:rFonts w:ascii="Inter" w:eastAsia="Inter" w:hAnsi="Inter" w:cs="Inter"/>
          <w:color w:val="0563C1"/>
          <w:sz w:val="16"/>
          <w:szCs w:val="16"/>
          <w:vertAlign w:val="superscript"/>
        </w:rPr>
        <w:t>[57]</w:t>
      </w:r>
    </w:p>
    <w:p w14:paraId="000000E1" w14:textId="77777777" w:rsidR="002C014C" w:rsidRDefault="00000000">
      <w:pPr>
        <w:spacing w:after="120"/>
        <w:rPr>
          <w:rFonts w:ascii="Inter" w:eastAsia="Inter" w:hAnsi="Inter" w:cs="Inter"/>
          <w:sz w:val="16"/>
          <w:szCs w:val="16"/>
        </w:rPr>
      </w:pPr>
      <w:r>
        <w:rPr>
          <w:rFonts w:ascii="Inter" w:eastAsia="Inter" w:hAnsi="Inter" w:cs="Inter"/>
          <w:b/>
          <w:bCs/>
          <w:sz w:val="16"/>
          <w:szCs w:val="16"/>
        </w:rPr>
        <w:t>Tribes that have engaged constructively with nuclear:</w:t>
      </w:r>
    </w:p>
    <w:p w14:paraId="000000E2"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Skull Valley Band of Goshutes (UT) is the clearest example of a Tribe that codified an affirmative nuclear-hosting framework, negotiating a lease with Private Fuel Storage and securing an NRC-issued license for an Independent Spent Fuel Storage Installation (ISFSI). The project was ultimately not built because of </w:t>
      </w:r>
      <w:sdt>
        <w:sdtPr>
          <w:tag w:val="goog_rdk_0"/>
          <w:id w:val="1659792205"/>
        </w:sdtPr>
        <w:sdtContent/>
      </w:sdt>
      <w:sdt>
        <w:sdtPr>
          <w:tag w:val="goog_rdk_1"/>
          <w:id w:val="1902431013"/>
        </w:sdtPr>
        <w:sdtContent/>
      </w:sdt>
      <w:r>
        <w:rPr>
          <w:rFonts w:ascii="Inter" w:eastAsia="Inter" w:hAnsi="Inter" w:cs="Inter"/>
          <w:sz w:val="16"/>
          <w:szCs w:val="16"/>
        </w:rPr>
        <w:t>separate BLM/BIA permit denials and federal land-use objections, not because of tribal-law obstacles. The episode is the leading reference point on the legal mechanics of tribally consented nuclear siting under federal pre-emption. To our knowledge, no Tribe has yet codified a comprehensive nuclear “enabling” regulatory framework for advanced reactor deployment. For a developer, the early-stage diligence question is therefore not “does this Tribe have a nuclear code we must comply with” but “does this Tribe have a moratorium, transport ban, or anti-nuclear resolution we need to address — and if not, what siting consent and tribal environmental review process applies.”</w:t>
      </w:r>
      <w:r>
        <w:rPr>
          <w:rFonts w:ascii="Inter" w:eastAsia="Inter" w:hAnsi="Inter" w:cs="Inter"/>
          <w:color w:val="0563C1"/>
          <w:sz w:val="16"/>
          <w:szCs w:val="16"/>
          <w:vertAlign w:val="superscript"/>
        </w:rPr>
        <w:t>[31]</w:t>
      </w:r>
    </w:p>
    <w:p w14:paraId="000000E3" w14:textId="77777777" w:rsidR="002C014C" w:rsidRDefault="00000000">
      <w:pPr>
        <w:pStyle w:val="Heading2"/>
        <w:rPr>
          <w:rFonts w:ascii="Inter" w:eastAsia="Inter" w:hAnsi="Inter" w:cs="Inter"/>
          <w:sz w:val="18"/>
          <w:szCs w:val="18"/>
        </w:rPr>
      </w:pPr>
      <w:r>
        <w:rPr>
          <w:rFonts w:ascii="Inter" w:eastAsia="Inter" w:hAnsi="Inter" w:cs="Inter"/>
          <w:sz w:val="18"/>
          <w:szCs w:val="18"/>
        </w:rPr>
        <w:lastRenderedPageBreak/>
        <w:t>5.3 Tribal Lands Shapefiles for Mapping</w:t>
      </w:r>
    </w:p>
    <w:p w14:paraId="000000E4"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primary recommendation </w:t>
      </w:r>
      <w:r>
        <w:rPr>
          <w:rFonts w:ascii="Inter" w:eastAsia="Inter" w:hAnsi="Inter" w:cs="Inter"/>
          <w:b/>
          <w:bCs/>
          <w:sz w:val="16"/>
          <w:szCs w:val="16"/>
        </w:rPr>
        <w:t xml:space="preserve">for §48E(h) eligibility maps is </w:t>
      </w:r>
      <w:r>
        <w:rPr>
          <w:rFonts w:ascii="Inter" w:eastAsia="Inter" w:hAnsi="Inter" w:cs="Inter"/>
          <w:sz w:val="16"/>
          <w:szCs w:val="16"/>
        </w:rPr>
        <w:t xml:space="preserve">using the BIA AIAN-LAR layer as the primary tribal-lands geometry, supplemented with Census AIANNH for Alaska Native Corporation regions and Hawaiian </w:t>
      </w:r>
      <w:proofErr w:type="gramStart"/>
      <w:r>
        <w:rPr>
          <w:rFonts w:ascii="Inter" w:eastAsia="Inter" w:hAnsi="Inter" w:cs="Inter"/>
          <w:sz w:val="16"/>
          <w:szCs w:val="16"/>
        </w:rPr>
        <w:t>Home Lands</w:t>
      </w:r>
      <w:proofErr w:type="gramEnd"/>
      <w:r>
        <w:rPr>
          <w:rFonts w:ascii="Inter" w:eastAsia="Inter" w:hAnsi="Inter" w:cs="Inter"/>
          <w:sz w:val="16"/>
          <w:szCs w:val="16"/>
        </w:rPr>
        <w:t xml:space="preserve"> (both of which are within the §48E(h) statutory definition of “Indian Land”).</w:t>
      </w:r>
    </w:p>
    <w:p w14:paraId="000000E5" w14:textId="77777777" w:rsidR="002C014C" w:rsidRDefault="00000000">
      <w:pPr>
        <w:spacing w:after="120"/>
        <w:rPr>
          <w:rFonts w:ascii="Inter" w:eastAsia="Inter" w:hAnsi="Inter" w:cs="Inter"/>
          <w:sz w:val="16"/>
          <w:szCs w:val="16"/>
        </w:rPr>
      </w:pPr>
      <w:r>
        <w:rPr>
          <w:rFonts w:ascii="Inter" w:eastAsia="Inter" w:hAnsi="Inter" w:cs="Inter"/>
          <w:b/>
          <w:bCs/>
          <w:sz w:val="16"/>
          <w:szCs w:val="16"/>
        </w:rPr>
        <w:t>BIA AIAN-LAR:</w:t>
      </w:r>
      <w:r>
        <w:rPr>
          <w:rFonts w:ascii="Inter" w:eastAsia="Inter" w:hAnsi="Inter" w:cs="Inter"/>
          <w:sz w:val="16"/>
          <w:szCs w:val="16"/>
        </w:rPr>
        <w:t xml:space="preserve"> </w:t>
      </w:r>
    </w:p>
    <w:p w14:paraId="000000E6"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The Bureau of Indian Affairs (BIA) Branch of Geospatial Support (BOGS) maintains the American Indian and Alaska Native Land Area Representation (AIAN-LAR) dataset. This is the federal government’s authoritative depiction of the external extent of federal Indian reservations, trust lands, restricted fee, and mixed ownership tracts for federally recognized Tribes, plus Public Domain Allotments, Dependent Indian Communities, and Homesteads. It is the dataset NTIA used for broadband-funding eligibility determinations, and the one most appropriate for incentive-eligibility analysis under the §48E(h) “Indian Land” definition, which tracks 25 U.S.C. §3501(2). Download portals: </w:t>
      </w:r>
    </w:p>
    <w:p w14:paraId="000000E7" w14:textId="77777777" w:rsidR="002C014C" w:rsidRDefault="00000000">
      <w:pPr>
        <w:spacing w:after="120"/>
        <w:rPr>
          <w:rFonts w:ascii="Inter" w:eastAsia="Inter" w:hAnsi="Inter" w:cs="Inter"/>
          <w:sz w:val="16"/>
          <w:szCs w:val="16"/>
        </w:rPr>
      </w:pPr>
      <w:hyperlink r:id="rId8">
        <w:r>
          <w:rPr>
            <w:rFonts w:ascii="Inter" w:eastAsia="Inter" w:hAnsi="Inter" w:cs="Inter"/>
            <w:color w:val="0563C1"/>
            <w:sz w:val="16"/>
            <w:szCs w:val="16"/>
            <w:u w:val="single"/>
          </w:rPr>
          <w:t>biamaps</w:t>
        </w:r>
      </w:hyperlink>
      <w:r>
        <w:rPr>
          <w:rFonts w:ascii="Inter" w:eastAsia="Inter" w:hAnsi="Inter" w:cs="Inter"/>
          <w:sz w:val="16"/>
          <w:szCs w:val="16"/>
        </w:rPr>
        <w:t xml:space="preserve"> </w:t>
      </w:r>
      <w:hyperlink r:id="rId9">
        <w:r>
          <w:rPr>
            <w:rFonts w:ascii="Inter" w:eastAsia="Inter" w:hAnsi="Inter" w:cs="Inter"/>
            <w:color w:val="0563C1"/>
            <w:sz w:val="16"/>
            <w:szCs w:val="16"/>
            <w:u w:val="single"/>
          </w:rPr>
          <w:t>https://experience.arcgis.com/experience/49fe6d3b860d47c588db75074fa42309/page/Page</w:t>
        </w:r>
      </w:hyperlink>
      <w:r>
        <w:rPr>
          <w:rFonts w:ascii="Inter" w:eastAsia="Inter" w:hAnsi="Inter" w:cs="Inter"/>
          <w:color w:val="0563C1"/>
          <w:sz w:val="16"/>
          <w:szCs w:val="16"/>
          <w:vertAlign w:val="superscript"/>
        </w:rPr>
        <w:t>[34]</w:t>
      </w:r>
    </w:p>
    <w:p w14:paraId="000000E8" w14:textId="77777777" w:rsidR="002C014C" w:rsidRDefault="00000000">
      <w:pPr>
        <w:spacing w:after="120"/>
        <w:rPr>
          <w:rFonts w:ascii="Inter" w:eastAsia="Inter" w:hAnsi="Inter" w:cs="Inter"/>
          <w:color w:val="0563C1"/>
          <w:sz w:val="16"/>
          <w:szCs w:val="16"/>
          <w:vertAlign w:val="superscript"/>
        </w:rPr>
      </w:pPr>
      <w:r>
        <w:rPr>
          <w:rFonts w:ascii="Inter" w:eastAsia="Inter" w:hAnsi="Inter" w:cs="Inter"/>
          <w:b/>
          <w:bCs/>
          <w:sz w:val="16"/>
          <w:szCs w:val="16"/>
        </w:rPr>
        <w:t>Census Bureau TIGER/Line AIANNH:</w:t>
      </w:r>
      <w:r>
        <w:rPr>
          <w:rFonts w:ascii="Inter" w:eastAsia="Inter" w:hAnsi="Inter" w:cs="Inter"/>
          <w:sz w:val="16"/>
          <w:szCs w:val="16"/>
        </w:rPr>
        <w:t xml:space="preserve"> The Census Bureau’s American Indian/Alaska Native/Native Hawaiian Areas (AIANNH) TIGER/Line shapefiles, updated annually as part of the Boundary and Annexation Survey, include federally recognized reservations, off-reservation trust lands, state-recognized reservations, Statistical Designated Tribal Statistical Areas (SDTSAs), Oklahoma Tribal Statistical Areas (OTSAs), Alaska Native Village Statistical Areas (ANVSAs), Tribal Designated Statistical Areas (TDSAs), and Hawaiian Home Lands. Useful when the analytic question includes statistical areas or Census </w:t>
      </w:r>
      <w:proofErr w:type="gramStart"/>
      <w:r>
        <w:rPr>
          <w:rFonts w:ascii="Inter" w:eastAsia="Inter" w:hAnsi="Inter" w:cs="Inter"/>
          <w:sz w:val="16"/>
          <w:szCs w:val="16"/>
        </w:rPr>
        <w:t>demography</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35]</w:t>
      </w:r>
      <w:r>
        <w:rPr>
          <w:rFonts w:ascii="Inter" w:eastAsia="Inter" w:hAnsi="Inter" w:cs="Inter"/>
          <w:sz w:val="16"/>
          <w:szCs w:val="16"/>
        </w:rPr>
        <w:t>. Usage:</w:t>
      </w:r>
    </w:p>
    <w:p w14:paraId="000000E9" w14:textId="77777777" w:rsidR="002C014C" w:rsidRDefault="00000000">
      <w:pPr>
        <w:spacing w:after="120"/>
        <w:ind w:left="720"/>
        <w:rPr>
          <w:rFonts w:ascii="Inter" w:eastAsia="Inter" w:hAnsi="Inter" w:cs="Inter"/>
          <w:b/>
          <w:bCs/>
          <w:i/>
          <w:iCs/>
          <w:sz w:val="16"/>
          <w:szCs w:val="16"/>
        </w:rPr>
      </w:pPr>
      <w:r>
        <w:rPr>
          <w:rFonts w:ascii="Inter" w:eastAsia="Inter" w:hAnsi="Inter" w:cs="Inter"/>
          <w:b/>
          <w:bCs/>
          <w:i/>
          <w:iCs/>
          <w:sz w:val="16"/>
          <w:szCs w:val="16"/>
        </w:rPr>
        <w:t>Step 1: Download the file</w:t>
      </w:r>
    </w:p>
    <w:p w14:paraId="000000EA"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Go to </w:t>
      </w:r>
      <w:hyperlink r:id="rId10">
        <w:r>
          <w:rPr>
            <w:rFonts w:ascii="Inter" w:eastAsia="Inter" w:hAnsi="Inter" w:cs="Inter"/>
            <w:color w:val="1155CC"/>
            <w:sz w:val="16"/>
            <w:szCs w:val="16"/>
            <w:u w:val="single"/>
          </w:rPr>
          <w:t>https://www.census.gov/geographies/mapping-files/time-series/geo/tiger-line-file.html</w:t>
        </w:r>
      </w:hyperlink>
      <w:r>
        <w:rPr>
          <w:rFonts w:ascii="Inter" w:eastAsia="Inter" w:hAnsi="Inter" w:cs="Inter"/>
          <w:sz w:val="16"/>
          <w:szCs w:val="16"/>
        </w:rPr>
        <w:tab/>
      </w:r>
    </w:p>
    <w:p w14:paraId="000000EB"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Click "Web Interface".</w:t>
      </w:r>
    </w:p>
    <w:p w14:paraId="000000EC"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Select most recent year &amp; layer type = “American Indian Area Geography”.</w:t>
      </w:r>
    </w:p>
    <w:p w14:paraId="000000ED"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Click Submit</w:t>
      </w:r>
    </w:p>
    <w:p w14:paraId="000000EE"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Look for "American Indian/Alaska Native/Native Hawaiian Areas" under the national-level files. Download national file</w:t>
      </w:r>
    </w:p>
    <w:p w14:paraId="000000EF"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Download the zip.</w:t>
      </w:r>
    </w:p>
    <w:p w14:paraId="000000F0" w14:textId="77777777" w:rsidR="002C014C" w:rsidRDefault="00000000">
      <w:pPr>
        <w:spacing w:after="120"/>
        <w:ind w:firstLine="720"/>
        <w:rPr>
          <w:rFonts w:ascii="Inter" w:eastAsia="Inter" w:hAnsi="Inter" w:cs="Inter"/>
          <w:sz w:val="16"/>
          <w:szCs w:val="16"/>
        </w:rPr>
      </w:pPr>
      <w:hyperlink r:id="rId11">
        <w:r>
          <w:rPr>
            <w:rFonts w:ascii="Inter" w:eastAsia="Inter" w:hAnsi="Inter" w:cs="Inter"/>
            <w:color w:val="1155CC"/>
            <w:sz w:val="16"/>
            <w:szCs w:val="16"/>
            <w:u w:val="single"/>
          </w:rPr>
          <w:t>Downloaded Dataset</w:t>
        </w:r>
      </w:hyperlink>
    </w:p>
    <w:p w14:paraId="000000F1" w14:textId="77777777" w:rsidR="002C014C" w:rsidRDefault="00000000">
      <w:pPr>
        <w:spacing w:after="120"/>
        <w:ind w:left="720"/>
        <w:rPr>
          <w:rFonts w:ascii="Inter" w:eastAsia="Inter" w:hAnsi="Inter" w:cs="Inter"/>
          <w:sz w:val="16"/>
          <w:szCs w:val="16"/>
        </w:rPr>
      </w:pPr>
      <w:r>
        <w:rPr>
          <w:rFonts w:ascii="Inter" w:eastAsia="Inter" w:hAnsi="Inter" w:cs="Inter"/>
          <w:b/>
          <w:bCs/>
          <w:i/>
          <w:iCs/>
          <w:sz w:val="16"/>
          <w:szCs w:val="16"/>
        </w:rPr>
        <w:t>Step 2: Visualize the file</w:t>
      </w:r>
    </w:p>
    <w:p w14:paraId="000000F2"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Use this </w:t>
      </w:r>
      <w:r>
        <w:rPr>
          <w:rFonts w:ascii="Inter" w:eastAsia="Inter" w:hAnsi="Inter" w:cs="Inter"/>
          <w:b/>
          <w:bCs/>
          <w:sz w:val="16"/>
          <w:szCs w:val="16"/>
        </w:rPr>
        <w:t>Web-based / no-install tool for viewing</w:t>
      </w:r>
      <w:r>
        <w:rPr>
          <w:rFonts w:ascii="Inter" w:eastAsia="Inter" w:hAnsi="Inter" w:cs="Inter"/>
          <w:sz w:val="16"/>
          <w:szCs w:val="16"/>
        </w:rPr>
        <w:t xml:space="preserve"> Upload the shapefile (zipped) to </w:t>
      </w:r>
      <w:hyperlink r:id="rId12">
        <w:r>
          <w:rPr>
            <w:rFonts w:ascii="Inter" w:eastAsia="Inter" w:hAnsi="Inter" w:cs="Inter"/>
            <w:color w:val="0563C1"/>
            <w:sz w:val="16"/>
            <w:szCs w:val="16"/>
            <w:u w:val="single"/>
          </w:rPr>
          <w:t>https://mapshaper.org</w:t>
        </w:r>
      </w:hyperlink>
      <w:r>
        <w:rPr>
          <w:rFonts w:ascii="Inter" w:eastAsia="Inter" w:hAnsi="Inter" w:cs="Inter"/>
          <w:sz w:val="16"/>
          <w:szCs w:val="16"/>
        </w:rPr>
        <w:t xml:space="preserve"> to inspect it in a browser. </w:t>
      </w:r>
      <w:proofErr w:type="spellStart"/>
      <w:r>
        <w:rPr>
          <w:rFonts w:ascii="Inter" w:eastAsia="Inter" w:hAnsi="Inter" w:cs="Inter"/>
          <w:sz w:val="16"/>
          <w:szCs w:val="16"/>
        </w:rPr>
        <w:t>Mapshaper</w:t>
      </w:r>
      <w:proofErr w:type="spellEnd"/>
      <w:r>
        <w:rPr>
          <w:rFonts w:ascii="Inter" w:eastAsia="Inter" w:hAnsi="Inter" w:cs="Inter"/>
          <w:sz w:val="16"/>
          <w:szCs w:val="16"/>
        </w:rPr>
        <w:t xml:space="preserve"> also lets you convert it to </w:t>
      </w:r>
      <w:proofErr w:type="spellStart"/>
      <w:r>
        <w:rPr>
          <w:rFonts w:ascii="Inter" w:eastAsia="Inter" w:hAnsi="Inter" w:cs="Inter"/>
          <w:sz w:val="16"/>
          <w:szCs w:val="16"/>
        </w:rPr>
        <w:t>GeoJSON</w:t>
      </w:r>
      <w:proofErr w:type="spellEnd"/>
      <w:r>
        <w:rPr>
          <w:rFonts w:ascii="Inter" w:eastAsia="Inter" w:hAnsi="Inter" w:cs="Inter"/>
          <w:sz w:val="16"/>
          <w:szCs w:val="16"/>
        </w:rPr>
        <w:t xml:space="preserve"> if your downstream tool wants that format instead.</w:t>
      </w:r>
    </w:p>
    <w:p w14:paraId="000000F3"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Add the map layer on the top left:</w:t>
      </w:r>
    </w:p>
    <w:p w14:paraId="000000F4" w14:textId="77777777" w:rsidR="002C014C" w:rsidRDefault="00000000">
      <w:pPr>
        <w:spacing w:after="120"/>
        <w:ind w:left="720"/>
        <w:rPr>
          <w:rFonts w:ascii="Inter" w:eastAsia="Inter" w:hAnsi="Inter" w:cs="Inter"/>
          <w:sz w:val="14"/>
          <w:szCs w:val="14"/>
        </w:rPr>
      </w:pPr>
      <w:r>
        <w:rPr>
          <w:rFonts w:ascii="Inter" w:eastAsia="Inter" w:hAnsi="Inter" w:cs="Inter"/>
          <w:noProof/>
          <w:sz w:val="14"/>
          <w:szCs w:val="14"/>
        </w:rPr>
        <w:drawing>
          <wp:inline distT="0" distB="0" distL="0" distR="0">
            <wp:extent cx="5943600" cy="63309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943600" cy="633095"/>
                    </a:xfrm>
                    <a:prstGeom prst="rect">
                      <a:avLst/>
                    </a:prstGeom>
                    <a:ln/>
                  </pic:spPr>
                </pic:pic>
              </a:graphicData>
            </a:graphic>
          </wp:inline>
        </w:drawing>
      </w:r>
    </w:p>
    <w:p w14:paraId="000000F5" w14:textId="77777777" w:rsidR="002C014C" w:rsidRDefault="002C014C">
      <w:pPr>
        <w:spacing w:after="120"/>
        <w:ind w:left="720"/>
        <w:rPr>
          <w:rFonts w:ascii="Inter" w:eastAsia="Inter" w:hAnsi="Inter" w:cs="Inter"/>
          <w:sz w:val="14"/>
          <w:szCs w:val="14"/>
        </w:rPr>
      </w:pPr>
    </w:p>
    <w:p w14:paraId="000000F6" w14:textId="77777777" w:rsidR="002C014C" w:rsidRDefault="00000000">
      <w:pPr>
        <w:spacing w:after="120"/>
        <w:ind w:left="720"/>
        <w:rPr>
          <w:rFonts w:ascii="Inter" w:eastAsia="Inter" w:hAnsi="Inter" w:cs="Inter"/>
          <w:sz w:val="14"/>
          <w:szCs w:val="14"/>
        </w:rPr>
      </w:pPr>
      <w:r>
        <w:rPr>
          <w:rFonts w:ascii="Inter" w:eastAsia="Inter" w:hAnsi="Inter" w:cs="Inter"/>
          <w:sz w:val="14"/>
          <w:szCs w:val="14"/>
        </w:rPr>
        <w:t>Click on the cursor icon and select “inspect features”.</w:t>
      </w:r>
    </w:p>
    <w:p w14:paraId="000000F7" w14:textId="77777777" w:rsidR="002C014C" w:rsidRDefault="00000000">
      <w:pPr>
        <w:spacing w:after="120"/>
        <w:ind w:left="720"/>
        <w:rPr>
          <w:rFonts w:ascii="Inter" w:eastAsia="Inter" w:hAnsi="Inter" w:cs="Inter"/>
          <w:sz w:val="14"/>
          <w:szCs w:val="14"/>
        </w:rPr>
      </w:pPr>
      <w:r>
        <w:rPr>
          <w:rFonts w:ascii="Inter" w:eastAsia="Inter" w:hAnsi="Inter" w:cs="Inter"/>
          <w:noProof/>
          <w:sz w:val="14"/>
          <w:szCs w:val="14"/>
        </w:rPr>
        <w:drawing>
          <wp:inline distT="0" distB="0" distL="0" distR="0">
            <wp:extent cx="1260008" cy="158011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1260008" cy="1580118"/>
                    </a:xfrm>
                    <a:prstGeom prst="rect">
                      <a:avLst/>
                    </a:prstGeom>
                    <a:ln/>
                  </pic:spPr>
                </pic:pic>
              </a:graphicData>
            </a:graphic>
          </wp:inline>
        </w:drawing>
      </w:r>
    </w:p>
    <w:p w14:paraId="000000F8"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Hover over any delimited are in the map to view its characteristics:</w:t>
      </w:r>
    </w:p>
    <w:p w14:paraId="000000F9"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lastRenderedPageBreak/>
        <w:t xml:space="preserve">GEOID — unique Census identifier </w:t>
      </w:r>
    </w:p>
    <w:p w14:paraId="000000FA"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NAME — tribe or area name (e.g., "Navajo Nation Reservation and Off-Reservation Trust Land") </w:t>
      </w:r>
    </w:p>
    <w:p w14:paraId="000000FB"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NAMELSAD — name plus legal/statistical descriptor </w:t>
      </w:r>
    </w:p>
    <w:p w14:paraId="000000FC"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CLASSFP — class code that distinguishes federal reservation from state reservation from OTSA, etc. </w:t>
      </w:r>
    </w:p>
    <w:p w14:paraId="000000FD"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MTFCC — feature class code (G2100 = federal reservation, G2140 = OTSA, G2160 = ANVSA, etc.) </w:t>
      </w:r>
    </w:p>
    <w:p w14:paraId="000000FE"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ALAND / AWATER — land and water area in square meters</w:t>
      </w:r>
    </w:p>
    <w:p w14:paraId="000000FF" w14:textId="77777777" w:rsidR="002C014C" w:rsidRDefault="002C014C">
      <w:pPr>
        <w:spacing w:after="120"/>
        <w:rPr>
          <w:rFonts w:ascii="Inter" w:eastAsia="Inter" w:hAnsi="Inter" w:cs="Inter"/>
          <w:sz w:val="14"/>
          <w:szCs w:val="14"/>
        </w:rPr>
      </w:pPr>
    </w:p>
    <w:p w14:paraId="00000100" w14:textId="77777777" w:rsidR="002C014C" w:rsidRDefault="00000000">
      <w:pPr>
        <w:pStyle w:val="Heading2"/>
        <w:rPr>
          <w:rFonts w:ascii="Inter" w:eastAsia="Inter" w:hAnsi="Inter" w:cs="Inter"/>
          <w:sz w:val="18"/>
          <w:szCs w:val="18"/>
        </w:rPr>
      </w:pPr>
      <w:r>
        <w:rPr>
          <w:rFonts w:ascii="Inter" w:eastAsia="Inter" w:hAnsi="Inter" w:cs="Inter"/>
          <w:sz w:val="18"/>
          <w:szCs w:val="18"/>
        </w:rPr>
        <w:t>5.4 Energy Community Bonus Shapefiles for Mapping</w:t>
      </w:r>
    </w:p>
    <w:p w14:paraId="00000101" w14:textId="77777777" w:rsidR="002C014C" w:rsidRDefault="00000000">
      <w:pPr>
        <w:spacing w:after="120"/>
        <w:rPr>
          <w:rFonts w:ascii="Inter" w:eastAsia="Inter" w:hAnsi="Inter" w:cs="Inter"/>
          <w:sz w:val="16"/>
          <w:szCs w:val="16"/>
        </w:rPr>
      </w:pPr>
      <w:r>
        <w:rPr>
          <w:rFonts w:ascii="Inter" w:eastAsia="Inter" w:hAnsi="Inter" w:cs="Inter"/>
          <w:sz w:val="16"/>
          <w:szCs w:val="16"/>
        </w:rPr>
        <w:t>The +10% Energy Community ITC adder has three statutory categories (brownfield, coal closure census tract, and fossil-fuel statistical area meeting the 0.17% employment / 25% tax revenue test), and the public spatial data covers two of them directly.</w:t>
      </w:r>
    </w:p>
    <w:p w14:paraId="00000102" w14:textId="77777777" w:rsidR="002C014C" w:rsidRDefault="00000000">
      <w:pPr>
        <w:spacing w:after="120"/>
        <w:rPr>
          <w:rFonts w:ascii="Inter" w:eastAsia="Inter" w:hAnsi="Inter" w:cs="Inter"/>
          <w:color w:val="0563C1"/>
          <w:sz w:val="16"/>
          <w:szCs w:val="16"/>
          <w:vertAlign w:val="superscript"/>
        </w:rPr>
      </w:pPr>
      <w:r>
        <w:rPr>
          <w:rFonts w:ascii="Inter" w:eastAsia="Inter" w:hAnsi="Inter" w:cs="Inter"/>
          <w:b/>
          <w:bCs/>
          <w:sz w:val="16"/>
          <w:szCs w:val="16"/>
        </w:rPr>
        <w:t>Primary source — DOE/NETL EDX:</w:t>
      </w:r>
      <w:r>
        <w:rPr>
          <w:rFonts w:ascii="Inter" w:eastAsia="Inter" w:hAnsi="Inter" w:cs="Inter"/>
          <w:sz w:val="16"/>
          <w:szCs w:val="16"/>
        </w:rPr>
        <w:t xml:space="preserve"> The IRA Energy Community Data Layers are published by DOE’s National Energy Technology Laboratory on the Energy Data </w:t>
      </w:r>
      <w:proofErr w:type="spellStart"/>
      <w:r>
        <w:rPr>
          <w:rFonts w:ascii="Inter" w:eastAsia="Inter" w:hAnsi="Inter" w:cs="Inter"/>
          <w:sz w:val="16"/>
          <w:szCs w:val="16"/>
        </w:rPr>
        <w:t>eXchange</w:t>
      </w:r>
      <w:proofErr w:type="spellEnd"/>
      <w:r>
        <w:rPr>
          <w:rFonts w:ascii="Inter" w:eastAsia="Inter" w:hAnsi="Inter" w:cs="Inter"/>
          <w:sz w:val="16"/>
          <w:szCs w:val="16"/>
        </w:rPr>
        <w:t xml:space="preserve"> </w:t>
      </w:r>
      <w:proofErr w:type="spellStart"/>
      <w:r>
        <w:rPr>
          <w:rFonts w:ascii="Inter" w:eastAsia="Inter" w:hAnsi="Inter" w:cs="Inter"/>
          <w:sz w:val="16"/>
          <w:szCs w:val="16"/>
        </w:rPr>
        <w:t>portal.The</w:t>
      </w:r>
      <w:proofErr w:type="spellEnd"/>
      <w:r>
        <w:rPr>
          <w:rFonts w:ascii="Inter" w:eastAsia="Inter" w:hAnsi="Inter" w:cs="Inter"/>
          <w:sz w:val="16"/>
          <w:szCs w:val="16"/>
        </w:rPr>
        <w:t xml:space="preserve"> package includes two GIS layers: (1) census tracts (and directly adjoining tracts) with coal mine closures since 1999 or coal-fired electric generating unit retirements since 2009 — these tracts qualify as energy communities; (2) Metropolitan Statistical Areas and non-MSAs that meet the Fossil Fuel Employment threshold and unemployment rate requirement. Note that brownfields are not shown on this map. The data is updated annually as the FFE/unemployment determinations are republished by IRS Notice (most recently in the 2024 release). Service layers feed the NETL ArcGIS mapping tool at </w:t>
      </w:r>
      <w:hyperlink r:id="rId15">
        <w:r>
          <w:rPr>
            <w:rFonts w:ascii="Inter" w:eastAsia="Inter" w:hAnsi="Inter" w:cs="Inter"/>
            <w:color w:val="0563C1"/>
            <w:sz w:val="16"/>
            <w:szCs w:val="16"/>
            <w:u w:val="single"/>
          </w:rPr>
          <w:t>arcgis.netl.doe.gov/portal/apps/experiencebuilder/experience/?id=a2ce47d4721a477a8701bd0e08495e1d</w:t>
        </w:r>
      </w:hyperlink>
      <w:r>
        <w:rPr>
          <w:rFonts w:ascii="Inter" w:eastAsia="Inter" w:hAnsi="Inter" w:cs="Inter"/>
          <w:sz w:val="16"/>
          <w:szCs w:val="16"/>
        </w:rPr>
        <w:t>.</w:t>
      </w:r>
      <w:r>
        <w:rPr>
          <w:rFonts w:ascii="Inter" w:eastAsia="Inter" w:hAnsi="Inter" w:cs="Inter"/>
          <w:color w:val="0563C1"/>
          <w:sz w:val="16"/>
          <w:szCs w:val="16"/>
          <w:vertAlign w:val="superscript"/>
        </w:rPr>
        <w:t>[15,36,37]</w:t>
      </w:r>
    </w:p>
    <w:p w14:paraId="00000103"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To access these data, you can download these resources in shapefile, csv, and xlsx file formats from NETL's Energy Data </w:t>
      </w:r>
      <w:proofErr w:type="spellStart"/>
      <w:r>
        <w:rPr>
          <w:rFonts w:ascii="Inter" w:eastAsia="Inter" w:hAnsi="Inter" w:cs="Inter"/>
          <w:sz w:val="16"/>
          <w:szCs w:val="16"/>
        </w:rPr>
        <w:t>eXchange</w:t>
      </w:r>
      <w:proofErr w:type="spellEnd"/>
      <w:r>
        <w:rPr>
          <w:rFonts w:ascii="Inter" w:eastAsia="Inter" w:hAnsi="Inter" w:cs="Inter"/>
          <w:sz w:val="16"/>
          <w:szCs w:val="16"/>
        </w:rPr>
        <w:t xml:space="preserve"> (EDX) here: </w:t>
      </w:r>
    </w:p>
    <w:p w14:paraId="00000104"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Original Source: </w:t>
      </w:r>
      <w:hyperlink r:id="rId16">
        <w:r>
          <w:rPr>
            <w:rFonts w:ascii="Inter" w:eastAsia="Inter" w:hAnsi="Inter" w:cs="Inter"/>
            <w:color w:val="0563C1"/>
            <w:sz w:val="16"/>
            <w:szCs w:val="16"/>
            <w:u w:val="single"/>
          </w:rPr>
          <w:t>https://edx.netl.doe.gov/dataset/ira-energy-community-data-layers</w:t>
        </w:r>
      </w:hyperlink>
    </w:p>
    <w:p w14:paraId="00000105" w14:textId="77777777" w:rsidR="002C014C" w:rsidRDefault="00000000">
      <w:pPr>
        <w:spacing w:after="120"/>
        <w:rPr>
          <w:rFonts w:ascii="Inter" w:eastAsia="Inter" w:hAnsi="Inter" w:cs="Inter"/>
          <w:sz w:val="16"/>
          <w:szCs w:val="16"/>
        </w:rPr>
      </w:pPr>
      <w:r>
        <w:rPr>
          <w:rFonts w:ascii="Inter" w:eastAsia="Inter" w:hAnsi="Inter" w:cs="Inter"/>
          <w:sz w:val="16"/>
          <w:szCs w:val="16"/>
        </w:rPr>
        <w:t xml:space="preserve">Mirror Source: </w:t>
      </w:r>
      <w:hyperlink r:id="rId17">
        <w:r>
          <w:rPr>
            <w:rFonts w:ascii="Inter" w:eastAsia="Inter" w:hAnsi="Inter" w:cs="Inter"/>
            <w:color w:val="1155CC"/>
            <w:sz w:val="16"/>
            <w:szCs w:val="16"/>
            <w:u w:val="single"/>
          </w:rPr>
          <w:t>https://zenodo.org/records/14757122</w:t>
        </w:r>
      </w:hyperlink>
      <w:r>
        <w:rPr>
          <w:rFonts w:ascii="Inter" w:eastAsia="Inter" w:hAnsi="Inter" w:cs="Inter"/>
          <w:sz w:val="16"/>
          <w:szCs w:val="16"/>
        </w:rPr>
        <w:tab/>
      </w:r>
    </w:p>
    <w:p w14:paraId="00000106" w14:textId="77777777" w:rsidR="002C014C" w:rsidRDefault="00000000">
      <w:pPr>
        <w:spacing w:after="120"/>
        <w:rPr>
          <w:rFonts w:ascii="Inter" w:eastAsia="Inter" w:hAnsi="Inter" w:cs="Inter"/>
          <w:sz w:val="16"/>
          <w:szCs w:val="16"/>
        </w:rPr>
      </w:pPr>
      <w:hyperlink r:id="rId18">
        <w:r>
          <w:rPr>
            <w:rFonts w:ascii="Inter" w:eastAsia="Inter" w:hAnsi="Inter" w:cs="Inter"/>
            <w:color w:val="1155CC"/>
            <w:sz w:val="16"/>
            <w:szCs w:val="16"/>
            <w:u w:val="single"/>
          </w:rPr>
          <w:t>Downloaded Dataset</w:t>
        </w:r>
      </w:hyperlink>
    </w:p>
    <w:p w14:paraId="00000107" w14:textId="77777777" w:rsidR="002C014C" w:rsidRDefault="00000000">
      <w:pPr>
        <w:spacing w:after="120"/>
        <w:rPr>
          <w:rFonts w:ascii="Inter" w:eastAsia="Inter" w:hAnsi="Inter" w:cs="Inter"/>
          <w:color w:val="0563C1"/>
          <w:sz w:val="16"/>
          <w:szCs w:val="16"/>
          <w:vertAlign w:val="superscript"/>
        </w:rPr>
      </w:pPr>
      <w:r>
        <w:rPr>
          <w:rFonts w:ascii="Inter" w:eastAsia="Inter" w:hAnsi="Inter" w:cs="Inter"/>
          <w:b/>
          <w:bCs/>
          <w:sz w:val="16"/>
          <w:szCs w:val="16"/>
        </w:rPr>
        <w:t>Brownfield category — no single shapefile:</w:t>
      </w:r>
      <w:r>
        <w:rPr>
          <w:rFonts w:ascii="Inter" w:eastAsia="Inter" w:hAnsi="Inter" w:cs="Inter"/>
          <w:sz w:val="16"/>
          <w:szCs w:val="16"/>
        </w:rPr>
        <w:t xml:space="preserve"> The third category (brownfield sites under CERCLA) is not consolidated into a single national shapefile because brownfield status is determined site-by-site. Useful proxies are the EPA Cleanups in My Community (CIMC) Brownfield Properties geodatabase at epa.gov/cleanups/</w:t>
      </w:r>
      <w:proofErr w:type="spellStart"/>
      <w:r>
        <w:rPr>
          <w:rFonts w:ascii="Inter" w:eastAsia="Inter" w:hAnsi="Inter" w:cs="Inter"/>
          <w:sz w:val="16"/>
          <w:szCs w:val="16"/>
        </w:rPr>
        <w:t>cimc</w:t>
      </w:r>
      <w:proofErr w:type="spellEnd"/>
      <w:r>
        <w:rPr>
          <w:rFonts w:ascii="Inter" w:eastAsia="Inter" w:hAnsi="Inter" w:cs="Inter"/>
          <w:sz w:val="16"/>
          <w:szCs w:val="16"/>
        </w:rPr>
        <w:t xml:space="preserve">-web-map-service-and-more, which provides a downloadable zipped geodatabase of EPA-tracked brownfield sites, and EPA’s </w:t>
      </w:r>
      <w:proofErr w:type="spellStart"/>
      <w:r>
        <w:rPr>
          <w:rFonts w:ascii="Inter" w:eastAsia="Inter" w:hAnsi="Inter" w:cs="Inter"/>
          <w:sz w:val="16"/>
          <w:szCs w:val="16"/>
        </w:rPr>
        <w:t>EnviroAtlas</w:t>
      </w:r>
      <w:proofErr w:type="spellEnd"/>
      <w:r>
        <w:rPr>
          <w:rFonts w:ascii="Inter" w:eastAsia="Inter" w:hAnsi="Inter" w:cs="Inter"/>
          <w:sz w:val="16"/>
          <w:szCs w:val="16"/>
        </w:rPr>
        <w:t xml:space="preserve"> brownfield layers. For the Tribal-nuclear use case, the most relevant brownfield overlay is the universe of abandoned uranium mines, which is published separately by the EPA Region 9 Navajo AUM dataset (epa.gov/</w:t>
      </w:r>
      <w:proofErr w:type="spellStart"/>
      <w:r>
        <w:rPr>
          <w:rFonts w:ascii="Inter" w:eastAsia="Inter" w:hAnsi="Inter" w:cs="Inter"/>
          <w:sz w:val="16"/>
          <w:szCs w:val="16"/>
        </w:rPr>
        <w:t>navajo</w:t>
      </w:r>
      <w:proofErr w:type="spellEnd"/>
      <w:r>
        <w:rPr>
          <w:rFonts w:ascii="Inter" w:eastAsia="Inter" w:hAnsi="Inter" w:cs="Inter"/>
          <w:sz w:val="16"/>
          <w:szCs w:val="16"/>
        </w:rPr>
        <w:t xml:space="preserve">-nation-uranium-cleanup) and by the U.S. Geological Survey’s </w:t>
      </w:r>
      <w:proofErr w:type="spellStart"/>
      <w:r>
        <w:rPr>
          <w:rFonts w:ascii="Inter" w:eastAsia="Inter" w:hAnsi="Inter" w:cs="Inter"/>
          <w:sz w:val="16"/>
          <w:szCs w:val="16"/>
        </w:rPr>
        <w:t>Defense</w:t>
      </w:r>
      <w:proofErr w:type="spellEnd"/>
      <w:r>
        <w:rPr>
          <w:rFonts w:ascii="Inter" w:eastAsia="Inter" w:hAnsi="Inter" w:cs="Inter"/>
          <w:sz w:val="16"/>
          <w:szCs w:val="16"/>
        </w:rPr>
        <w:t xml:space="preserve">-Related Uranium Mines (DRUM) </w:t>
      </w:r>
      <w:proofErr w:type="gramStart"/>
      <w:r>
        <w:rPr>
          <w:rFonts w:ascii="Inter" w:eastAsia="Inter" w:hAnsi="Inter" w:cs="Inter"/>
          <w:sz w:val="16"/>
          <w:szCs w:val="16"/>
        </w:rPr>
        <w:t>inventory.</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38,39]</w:t>
      </w:r>
    </w:p>
    <w:p w14:paraId="00000108" w14:textId="77777777" w:rsidR="002C014C" w:rsidRDefault="00000000">
      <w:pPr>
        <w:spacing w:after="120"/>
        <w:ind w:left="720"/>
        <w:rPr>
          <w:rFonts w:ascii="Inter" w:eastAsia="Inter" w:hAnsi="Inter" w:cs="Inter"/>
          <w:b/>
          <w:bCs/>
          <w:sz w:val="16"/>
          <w:szCs w:val="16"/>
        </w:rPr>
      </w:pPr>
      <w:r>
        <w:rPr>
          <w:rFonts w:ascii="Inter" w:eastAsia="Inter" w:hAnsi="Inter" w:cs="Inter"/>
          <w:b/>
          <w:bCs/>
          <w:sz w:val="16"/>
          <w:szCs w:val="16"/>
        </w:rPr>
        <w:t>How to Visualize both maps:</w:t>
      </w:r>
    </w:p>
    <w:p w14:paraId="00000109" w14:textId="77777777" w:rsidR="002C014C" w:rsidRDefault="00000000">
      <w:pPr>
        <w:spacing w:after="120"/>
        <w:ind w:left="720"/>
        <w:rPr>
          <w:rFonts w:ascii="Inter" w:eastAsia="Inter" w:hAnsi="Inter" w:cs="Inter"/>
          <w:b/>
          <w:bCs/>
          <w:sz w:val="16"/>
          <w:szCs w:val="16"/>
        </w:rPr>
      </w:pPr>
      <w:r>
        <w:rPr>
          <w:rFonts w:ascii="Inter" w:eastAsia="Inter" w:hAnsi="Inter" w:cs="Inter"/>
          <w:b/>
          <w:bCs/>
          <w:sz w:val="16"/>
          <w:szCs w:val="16"/>
        </w:rPr>
        <w:t>Dataset 1: EPA CIMC Brownfield Properties (geodatabase)</w:t>
      </w:r>
    </w:p>
    <w:p w14:paraId="0000010A"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This is the broadest brownfield dataset — ~36,000 EPA-tracked brownfield sites nationally.</w:t>
      </w:r>
    </w:p>
    <w:p w14:paraId="0000010B" w14:textId="77777777" w:rsidR="002C014C" w:rsidRDefault="00000000">
      <w:pPr>
        <w:spacing w:after="120"/>
        <w:ind w:left="720"/>
        <w:rPr>
          <w:rFonts w:ascii="Inter" w:eastAsia="Inter" w:hAnsi="Inter" w:cs="Inter"/>
          <w:sz w:val="16"/>
          <w:szCs w:val="16"/>
        </w:rPr>
      </w:pPr>
      <w:r>
        <w:rPr>
          <w:rFonts w:ascii="Inter" w:eastAsia="Inter" w:hAnsi="Inter" w:cs="Inter"/>
          <w:b/>
          <w:bCs/>
          <w:sz w:val="16"/>
          <w:szCs w:val="16"/>
        </w:rPr>
        <w:t>Download:</w:t>
      </w:r>
    </w:p>
    <w:p w14:paraId="0000010C" w14:textId="77777777" w:rsidR="002C014C" w:rsidRDefault="00000000">
      <w:pPr>
        <w:numPr>
          <w:ilvl w:val="0"/>
          <w:numId w:val="5"/>
        </w:numPr>
        <w:spacing w:after="120"/>
        <w:ind w:left="1440"/>
        <w:rPr>
          <w:rFonts w:ascii="Inter" w:eastAsia="Inter" w:hAnsi="Inter" w:cs="Inter"/>
          <w:sz w:val="16"/>
          <w:szCs w:val="16"/>
        </w:rPr>
      </w:pPr>
      <w:r>
        <w:rPr>
          <w:rFonts w:ascii="Inter" w:eastAsia="Inter" w:hAnsi="Inter" w:cs="Inter"/>
          <w:sz w:val="16"/>
          <w:szCs w:val="16"/>
        </w:rPr>
        <w:t xml:space="preserve">Go to </w:t>
      </w:r>
      <w:hyperlink r:id="rId19">
        <w:r>
          <w:rPr>
            <w:rFonts w:ascii="Inter" w:eastAsia="Inter" w:hAnsi="Inter" w:cs="Inter"/>
            <w:color w:val="0563C1"/>
            <w:sz w:val="16"/>
            <w:szCs w:val="16"/>
            <w:u w:val="single"/>
          </w:rPr>
          <w:t>https://www.epa.gov/cleanups/cimc-web-map-service-and-more</w:t>
        </w:r>
      </w:hyperlink>
    </w:p>
    <w:p w14:paraId="0000010D" w14:textId="77777777" w:rsidR="002C014C" w:rsidRDefault="00000000">
      <w:pPr>
        <w:numPr>
          <w:ilvl w:val="0"/>
          <w:numId w:val="5"/>
        </w:numPr>
        <w:spacing w:after="120"/>
        <w:ind w:left="1440"/>
        <w:rPr>
          <w:rFonts w:ascii="Inter" w:eastAsia="Inter" w:hAnsi="Inter" w:cs="Inter"/>
          <w:sz w:val="16"/>
          <w:szCs w:val="16"/>
        </w:rPr>
      </w:pPr>
      <w:r>
        <w:rPr>
          <w:rFonts w:ascii="Inter" w:eastAsia="Inter" w:hAnsi="Inter" w:cs="Inter"/>
          <w:sz w:val="16"/>
          <w:szCs w:val="16"/>
        </w:rPr>
        <w:t xml:space="preserve">Scroll to </w:t>
      </w:r>
      <w:r>
        <w:rPr>
          <w:rFonts w:ascii="Inter" w:eastAsia="Inter" w:hAnsi="Inter" w:cs="Inter"/>
          <w:b/>
          <w:bCs/>
          <w:sz w:val="16"/>
          <w:szCs w:val="16"/>
        </w:rPr>
        <w:t>"Brownfields Properties in CIMC (zip)"</w:t>
      </w:r>
      <w:r>
        <w:rPr>
          <w:rFonts w:ascii="Inter" w:eastAsia="Inter" w:hAnsi="Inter" w:cs="Inter"/>
          <w:sz w:val="16"/>
          <w:szCs w:val="16"/>
        </w:rPr>
        <w:t xml:space="preserve"> and download. It's a .zip containing </w:t>
      </w:r>
      <w:proofErr w:type="gramStart"/>
      <w:r>
        <w:rPr>
          <w:rFonts w:ascii="Inter" w:eastAsia="Inter" w:hAnsi="Inter" w:cs="Inter"/>
          <w:sz w:val="16"/>
          <w:szCs w:val="16"/>
        </w:rPr>
        <w:t>a .</w:t>
      </w:r>
      <w:proofErr w:type="spellStart"/>
      <w:r>
        <w:rPr>
          <w:rFonts w:ascii="Inter" w:eastAsia="Inter" w:hAnsi="Inter" w:cs="Inter"/>
          <w:sz w:val="16"/>
          <w:szCs w:val="16"/>
        </w:rPr>
        <w:t>gdb</w:t>
      </w:r>
      <w:proofErr w:type="spellEnd"/>
      <w:proofErr w:type="gramEnd"/>
      <w:r>
        <w:rPr>
          <w:rFonts w:ascii="Inter" w:eastAsia="Inter" w:hAnsi="Inter" w:cs="Inter"/>
          <w:sz w:val="16"/>
          <w:szCs w:val="16"/>
        </w:rPr>
        <w:t xml:space="preserve"> folder (file geodatabase, Esri format).</w:t>
      </w:r>
    </w:p>
    <w:p w14:paraId="0000010E" w14:textId="77777777" w:rsidR="002C014C" w:rsidRDefault="00000000">
      <w:pPr>
        <w:spacing w:after="120"/>
        <w:ind w:left="720"/>
        <w:rPr>
          <w:rFonts w:ascii="Inter" w:eastAsia="Inter" w:hAnsi="Inter" w:cs="Inter"/>
          <w:sz w:val="16"/>
          <w:szCs w:val="16"/>
        </w:rPr>
      </w:pPr>
      <w:r>
        <w:rPr>
          <w:rFonts w:ascii="Inter" w:eastAsia="Inter" w:hAnsi="Inter" w:cs="Inter"/>
          <w:b/>
          <w:bCs/>
          <w:sz w:val="16"/>
          <w:szCs w:val="16"/>
        </w:rPr>
        <w:t>Open it — three options:</w:t>
      </w:r>
    </w:p>
    <w:p w14:paraId="0000010F" w14:textId="77777777" w:rsidR="002C014C" w:rsidRDefault="00000000">
      <w:pPr>
        <w:numPr>
          <w:ilvl w:val="0"/>
          <w:numId w:val="6"/>
        </w:numPr>
        <w:spacing w:after="120"/>
        <w:ind w:left="1440"/>
        <w:rPr>
          <w:rFonts w:ascii="Inter" w:eastAsia="Inter" w:hAnsi="Inter" w:cs="Inter"/>
          <w:sz w:val="16"/>
          <w:szCs w:val="16"/>
        </w:rPr>
      </w:pPr>
      <w:r>
        <w:rPr>
          <w:rFonts w:ascii="Inter" w:eastAsia="Inter" w:hAnsi="Inter" w:cs="Inter"/>
          <w:b/>
          <w:bCs/>
          <w:sz w:val="16"/>
          <w:szCs w:val="16"/>
        </w:rPr>
        <w:t>QGIS (free, recommended).</w:t>
      </w:r>
      <w:r>
        <w:rPr>
          <w:rFonts w:ascii="Inter" w:eastAsia="Inter" w:hAnsi="Inter" w:cs="Inter"/>
          <w:sz w:val="16"/>
          <w:szCs w:val="16"/>
        </w:rPr>
        <w:t xml:space="preserve"> Install from qgis.org. In QGIS: Layer → Add Layer → Add Vector Layer → browse to </w:t>
      </w:r>
      <w:proofErr w:type="gramStart"/>
      <w:r>
        <w:rPr>
          <w:rFonts w:ascii="Inter" w:eastAsia="Inter" w:hAnsi="Inter" w:cs="Inter"/>
          <w:sz w:val="16"/>
          <w:szCs w:val="16"/>
        </w:rPr>
        <w:t>the .</w:t>
      </w:r>
      <w:proofErr w:type="spellStart"/>
      <w:r>
        <w:rPr>
          <w:rFonts w:ascii="Inter" w:eastAsia="Inter" w:hAnsi="Inter" w:cs="Inter"/>
          <w:sz w:val="16"/>
          <w:szCs w:val="16"/>
        </w:rPr>
        <w:t>gdb</w:t>
      </w:r>
      <w:proofErr w:type="spellEnd"/>
      <w:proofErr w:type="gramEnd"/>
      <w:r>
        <w:rPr>
          <w:rFonts w:ascii="Inter" w:eastAsia="Inter" w:hAnsi="Inter" w:cs="Inter"/>
          <w:sz w:val="16"/>
          <w:szCs w:val="16"/>
        </w:rPr>
        <w:t xml:space="preserve"> folder (select the folder itself, not a file inside it). QGIS will read it natively.</w:t>
      </w:r>
    </w:p>
    <w:p w14:paraId="00000110" w14:textId="77777777" w:rsidR="002C014C" w:rsidRDefault="00000000">
      <w:pPr>
        <w:numPr>
          <w:ilvl w:val="0"/>
          <w:numId w:val="6"/>
        </w:numPr>
        <w:spacing w:after="120"/>
        <w:ind w:left="1440"/>
        <w:rPr>
          <w:rFonts w:ascii="Inter" w:eastAsia="Inter" w:hAnsi="Inter" w:cs="Inter"/>
          <w:sz w:val="16"/>
          <w:szCs w:val="16"/>
        </w:rPr>
      </w:pPr>
      <w:r>
        <w:rPr>
          <w:rFonts w:ascii="Inter" w:eastAsia="Inter" w:hAnsi="Inter" w:cs="Inter"/>
          <w:b/>
          <w:bCs/>
          <w:sz w:val="16"/>
          <w:szCs w:val="16"/>
        </w:rPr>
        <w:t>ArcGIS Online or Pro.</w:t>
      </w:r>
      <w:r>
        <w:rPr>
          <w:rFonts w:ascii="Inter" w:eastAsia="Inter" w:hAnsi="Inter" w:cs="Inter"/>
          <w:sz w:val="16"/>
          <w:szCs w:val="16"/>
        </w:rPr>
        <w:t xml:space="preserve"> Native format — just drag and drop.</w:t>
      </w:r>
    </w:p>
    <w:p w14:paraId="00000111" w14:textId="77777777" w:rsidR="002C014C" w:rsidRDefault="00000000">
      <w:pPr>
        <w:numPr>
          <w:ilvl w:val="0"/>
          <w:numId w:val="6"/>
        </w:numPr>
        <w:spacing w:after="120"/>
        <w:ind w:left="1440"/>
        <w:rPr>
          <w:rFonts w:ascii="Inter" w:eastAsia="Inter" w:hAnsi="Inter" w:cs="Inter"/>
          <w:sz w:val="16"/>
          <w:szCs w:val="16"/>
        </w:rPr>
      </w:pPr>
      <w:r>
        <w:rPr>
          <w:rFonts w:ascii="Inter" w:eastAsia="Inter" w:hAnsi="Inter" w:cs="Inter"/>
          <w:b/>
          <w:bCs/>
          <w:sz w:val="16"/>
          <w:szCs w:val="16"/>
        </w:rPr>
        <w:t>Convert to shapefile first using ogr2ogr</w:t>
      </w:r>
      <w:r>
        <w:rPr>
          <w:rFonts w:ascii="Inter" w:eastAsia="Inter" w:hAnsi="Inter" w:cs="Inter"/>
          <w:sz w:val="16"/>
          <w:szCs w:val="16"/>
        </w:rPr>
        <w:t xml:space="preserve"> (command line, if you're comfortable). Then load the resulting .</w:t>
      </w:r>
      <w:proofErr w:type="spellStart"/>
      <w:r>
        <w:rPr>
          <w:rFonts w:ascii="Inter" w:eastAsia="Inter" w:hAnsi="Inter" w:cs="Inter"/>
          <w:sz w:val="16"/>
          <w:szCs w:val="16"/>
        </w:rPr>
        <w:t>shp</w:t>
      </w:r>
      <w:proofErr w:type="spellEnd"/>
      <w:r>
        <w:rPr>
          <w:rFonts w:ascii="Inter" w:eastAsia="Inter" w:hAnsi="Inter" w:cs="Inter"/>
          <w:sz w:val="16"/>
          <w:szCs w:val="16"/>
        </w:rPr>
        <w:t xml:space="preserve"> into </w:t>
      </w:r>
      <w:proofErr w:type="spellStart"/>
      <w:r>
        <w:rPr>
          <w:rFonts w:ascii="Inter" w:eastAsia="Inter" w:hAnsi="Inter" w:cs="Inter"/>
          <w:sz w:val="16"/>
          <w:szCs w:val="16"/>
        </w:rPr>
        <w:t>mapshaper</w:t>
      </w:r>
      <w:proofErr w:type="spellEnd"/>
      <w:r>
        <w:rPr>
          <w:rFonts w:ascii="Inter" w:eastAsia="Inter" w:hAnsi="Inter" w:cs="Inter"/>
          <w:sz w:val="16"/>
          <w:szCs w:val="16"/>
        </w:rPr>
        <w:t xml:space="preserve">. Command: ogr2ogr -f "ESRI Shapefile" </w:t>
      </w:r>
      <w:proofErr w:type="spellStart"/>
      <w:r>
        <w:rPr>
          <w:rFonts w:ascii="Inter" w:eastAsia="Inter" w:hAnsi="Inter" w:cs="Inter"/>
          <w:sz w:val="16"/>
          <w:szCs w:val="16"/>
        </w:rPr>
        <w:t>output_folder</w:t>
      </w:r>
      <w:proofErr w:type="spellEnd"/>
      <w:r>
        <w:rPr>
          <w:rFonts w:ascii="Inter" w:eastAsia="Inter" w:hAnsi="Inter" w:cs="Inter"/>
          <w:sz w:val="16"/>
          <w:szCs w:val="16"/>
        </w:rPr>
        <w:t xml:space="preserve"> </w:t>
      </w:r>
      <w:proofErr w:type="spellStart"/>
      <w:r>
        <w:rPr>
          <w:rFonts w:ascii="Inter" w:eastAsia="Inter" w:hAnsi="Inter" w:cs="Inter"/>
          <w:sz w:val="16"/>
          <w:szCs w:val="16"/>
        </w:rPr>
        <w:t>input.gdb</w:t>
      </w:r>
      <w:proofErr w:type="spellEnd"/>
      <w:r>
        <w:rPr>
          <w:rFonts w:ascii="Inter" w:eastAsia="Inter" w:hAnsi="Inter" w:cs="Inter"/>
          <w:sz w:val="16"/>
          <w:szCs w:val="16"/>
        </w:rPr>
        <w:t xml:space="preserve"> — this dumps each layer in the GDB as a separate shapefile.</w:t>
      </w:r>
    </w:p>
    <w:p w14:paraId="00000112"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 xml:space="preserve">Brownfield sites are </w:t>
      </w:r>
      <w:r>
        <w:rPr>
          <w:rFonts w:ascii="Inter" w:eastAsia="Inter" w:hAnsi="Inter" w:cs="Inter"/>
          <w:b/>
          <w:bCs/>
          <w:sz w:val="16"/>
          <w:szCs w:val="16"/>
        </w:rPr>
        <w:t>points</w:t>
      </w:r>
      <w:r>
        <w:rPr>
          <w:rFonts w:ascii="Inter" w:eastAsia="Inter" w:hAnsi="Inter" w:cs="Inter"/>
          <w:sz w:val="16"/>
          <w:szCs w:val="16"/>
        </w:rPr>
        <w:t>, not polygons (each site is one location with attributes like name, address, status, contaminants), so the visualization is dots-on-a-map, not shaded areas.</w:t>
      </w:r>
    </w:p>
    <w:p w14:paraId="00000113" w14:textId="77777777" w:rsidR="002C014C" w:rsidRDefault="00000000">
      <w:pPr>
        <w:spacing w:after="120"/>
        <w:ind w:left="720"/>
        <w:rPr>
          <w:rFonts w:ascii="Inter" w:eastAsia="Inter" w:hAnsi="Inter" w:cs="Inter"/>
          <w:b/>
          <w:bCs/>
          <w:sz w:val="16"/>
          <w:szCs w:val="16"/>
        </w:rPr>
      </w:pPr>
      <w:r>
        <w:rPr>
          <w:rFonts w:ascii="Inter" w:eastAsia="Inter" w:hAnsi="Inter" w:cs="Inter"/>
          <w:b/>
          <w:bCs/>
          <w:sz w:val="16"/>
          <w:szCs w:val="16"/>
        </w:rPr>
        <w:t>Dataset 2: EPA Region 9 Navajo Abandoned Uranium Mines (AUMs)</w:t>
      </w:r>
    </w:p>
    <w:p w14:paraId="00000114"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This is the most relevant for the tribal-nuclear use case in your document — ~523 mines on or near Navajo land.</w:t>
      </w:r>
    </w:p>
    <w:p w14:paraId="00000115" w14:textId="77777777" w:rsidR="002C014C" w:rsidRDefault="00000000">
      <w:pPr>
        <w:spacing w:after="120"/>
        <w:ind w:left="720"/>
        <w:rPr>
          <w:rFonts w:ascii="Inter" w:eastAsia="Inter" w:hAnsi="Inter" w:cs="Inter"/>
          <w:sz w:val="16"/>
          <w:szCs w:val="16"/>
        </w:rPr>
      </w:pPr>
      <w:r>
        <w:rPr>
          <w:rFonts w:ascii="Inter" w:eastAsia="Inter" w:hAnsi="Inter" w:cs="Inter"/>
          <w:b/>
          <w:bCs/>
          <w:sz w:val="16"/>
          <w:szCs w:val="16"/>
        </w:rPr>
        <w:lastRenderedPageBreak/>
        <w:t>Where to find the spatial data:</w:t>
      </w:r>
    </w:p>
    <w:p w14:paraId="00000116" w14:textId="77777777" w:rsidR="002C014C" w:rsidRDefault="00000000">
      <w:pPr>
        <w:spacing w:after="120"/>
        <w:ind w:left="720"/>
        <w:rPr>
          <w:rFonts w:ascii="Inter" w:eastAsia="Inter" w:hAnsi="Inter" w:cs="Inter"/>
          <w:sz w:val="16"/>
          <w:szCs w:val="16"/>
        </w:rPr>
      </w:pPr>
      <w:r>
        <w:rPr>
          <w:rFonts w:ascii="Inter" w:eastAsia="Inter" w:hAnsi="Inter" w:cs="Inter"/>
          <w:sz w:val="16"/>
          <w:szCs w:val="16"/>
        </w:rPr>
        <w:t>https://geopub.epa.gov/NavajoNationAUM/</w:t>
      </w:r>
      <w:r>
        <w:rPr>
          <w:rFonts w:ascii="Inter" w:eastAsia="Inter" w:hAnsi="Inter" w:cs="Inter"/>
          <w:sz w:val="16"/>
          <w:szCs w:val="16"/>
        </w:rPr>
        <w:tab/>
      </w:r>
    </w:p>
    <w:p w14:paraId="00000117" w14:textId="77777777" w:rsidR="002C014C" w:rsidRDefault="00000000">
      <w:pPr>
        <w:spacing w:after="120"/>
        <w:rPr>
          <w:rFonts w:ascii="Inter" w:eastAsia="Inter" w:hAnsi="Inter" w:cs="Inter"/>
          <w:sz w:val="16"/>
          <w:szCs w:val="16"/>
        </w:rPr>
      </w:pPr>
      <w:r>
        <w:rPr>
          <w:rFonts w:ascii="Inter" w:eastAsia="Inter" w:hAnsi="Inter" w:cs="Inter"/>
          <w:b/>
          <w:bCs/>
          <w:sz w:val="16"/>
          <w:szCs w:val="16"/>
        </w:rPr>
        <w:t>Cross-referencing for combined Tribal + Energy Community eligibility:</w:t>
      </w:r>
      <w:r>
        <w:rPr>
          <w:rFonts w:ascii="Inter" w:eastAsia="Inter" w:hAnsi="Inter" w:cs="Inter"/>
          <w:sz w:val="16"/>
          <w:szCs w:val="16"/>
        </w:rPr>
        <w:t xml:space="preserve"> Overlaying the BIA AIAN-LAR layer with the NETL Energy Community layers identifies Tribal lands that automatically qualify for the +10pp Energy Community adder. Section 4.4 of this document notes the structural overlap with historical uranium mining geography on Navajo, Laguna, Zuni, Hualapai, Tohono O’odham, Spokane, and Ute lands. Climate Cabinet Education also publishes a consolidated public-facing tax-credit bonus map at climatecabineteducation.org/tax-credit-bonuses-map/ that combines these layers and is useful as a sanity check on internal map work, though the underlying NETL and BIA primary sources should be used for any analysis intended for client or financing-package use.</w:t>
      </w:r>
      <w:r>
        <w:rPr>
          <w:rFonts w:ascii="Inter" w:eastAsia="Inter" w:hAnsi="Inter" w:cs="Inter"/>
          <w:color w:val="0563C1"/>
          <w:sz w:val="16"/>
          <w:szCs w:val="16"/>
          <w:vertAlign w:val="superscript"/>
        </w:rPr>
        <w:t>[40]</w:t>
      </w:r>
    </w:p>
    <w:p w14:paraId="00000118" w14:textId="77777777" w:rsidR="002C014C" w:rsidRDefault="00000000">
      <w:pPr>
        <w:spacing w:after="120"/>
        <w:rPr>
          <w:rFonts w:ascii="Inter" w:eastAsia="Inter" w:hAnsi="Inter" w:cs="Inter"/>
          <w:sz w:val="16"/>
          <w:szCs w:val="16"/>
        </w:rPr>
      </w:pPr>
      <w:r>
        <w:rPr>
          <w:rFonts w:ascii="Inter" w:eastAsia="Inter" w:hAnsi="Inter" w:cs="Inter"/>
          <w:b/>
          <w:bCs/>
          <w:sz w:val="16"/>
          <w:szCs w:val="16"/>
        </w:rPr>
        <w:t>Important disclaimer carried by NETL:</w:t>
      </w:r>
      <w:r>
        <w:rPr>
          <w:rFonts w:ascii="Inter" w:eastAsia="Inter" w:hAnsi="Inter" w:cs="Inter"/>
          <w:sz w:val="16"/>
          <w:szCs w:val="16"/>
        </w:rPr>
        <w:t xml:space="preserve"> the mapping tool and shapefiles cannot be relied upon to substantiate a tax return position and will not be used by the IRS for examination purposes. Final eligibility is governed by the underlying IRS Notices (2023-29, subsequent updates) and the project’s placed-in-service-date treatment. For financing diligence, the shapefiles are a strong starting screen but should be paired with an attestation-level analysis at the project </w:t>
      </w:r>
      <w:proofErr w:type="gramStart"/>
      <w:r>
        <w:rPr>
          <w:rFonts w:ascii="Inter" w:eastAsia="Inter" w:hAnsi="Inter" w:cs="Inter"/>
          <w:sz w:val="16"/>
          <w:szCs w:val="16"/>
        </w:rPr>
        <w:t>site.</w:t>
      </w:r>
      <w:r>
        <w:rPr>
          <w:rFonts w:ascii="Inter" w:eastAsia="Inter" w:hAnsi="Inter" w:cs="Inter"/>
          <w:color w:val="0563C1"/>
          <w:sz w:val="16"/>
          <w:szCs w:val="16"/>
          <w:vertAlign w:val="superscript"/>
        </w:rPr>
        <w:t>[</w:t>
      </w:r>
      <w:proofErr w:type="gramEnd"/>
      <w:r>
        <w:rPr>
          <w:rFonts w:ascii="Inter" w:eastAsia="Inter" w:hAnsi="Inter" w:cs="Inter"/>
          <w:color w:val="0563C1"/>
          <w:sz w:val="16"/>
          <w:szCs w:val="16"/>
          <w:vertAlign w:val="superscript"/>
        </w:rPr>
        <w:t>4,15,18,36]</w:t>
      </w:r>
    </w:p>
    <w:p w14:paraId="00000119" w14:textId="77777777" w:rsidR="002C014C" w:rsidRDefault="00000000">
      <w:pPr>
        <w:rPr>
          <w:rFonts w:ascii="Inter" w:eastAsia="Inter" w:hAnsi="Inter" w:cs="Inter"/>
          <w:sz w:val="16"/>
          <w:szCs w:val="16"/>
        </w:rPr>
      </w:pPr>
      <w:r>
        <w:br w:type="page"/>
      </w:r>
    </w:p>
    <w:p w14:paraId="0000011A" w14:textId="77777777" w:rsidR="002C014C" w:rsidRDefault="00000000">
      <w:pPr>
        <w:pStyle w:val="Heading1"/>
        <w:rPr>
          <w:rFonts w:ascii="Inter" w:eastAsia="Inter" w:hAnsi="Inter" w:cs="Inter"/>
          <w:sz w:val="20"/>
          <w:szCs w:val="20"/>
        </w:rPr>
      </w:pPr>
      <w:r>
        <w:rPr>
          <w:rFonts w:ascii="Inter" w:eastAsia="Inter" w:hAnsi="Inter" w:cs="Inter"/>
          <w:sz w:val="20"/>
          <w:szCs w:val="20"/>
        </w:rPr>
        <w:lastRenderedPageBreak/>
        <w:t>6. Sources</w:t>
      </w:r>
    </w:p>
    <w:p w14:paraId="0000011B" w14:textId="77777777" w:rsidR="002C014C" w:rsidRDefault="00000000">
      <w:pPr>
        <w:spacing w:after="120"/>
        <w:rPr>
          <w:rFonts w:ascii="Inter" w:eastAsia="Inter" w:hAnsi="Inter" w:cs="Inter"/>
          <w:sz w:val="14"/>
          <w:szCs w:val="14"/>
        </w:rPr>
      </w:pPr>
      <w:r>
        <w:rPr>
          <w:rFonts w:ascii="Inter" w:eastAsia="Inter" w:hAnsi="Inter" w:cs="Inter"/>
          <w:sz w:val="14"/>
          <w:szCs w:val="14"/>
        </w:rPr>
        <w:t>All factual claims above are based on the following primary and secondary sources:</w:t>
      </w:r>
    </w:p>
    <w:p w14:paraId="0000011C" w14:textId="77777777" w:rsidR="002C014C" w:rsidRDefault="00000000">
      <w:pPr>
        <w:pStyle w:val="Heading3"/>
        <w:rPr>
          <w:rFonts w:ascii="Inter" w:eastAsia="Inter" w:hAnsi="Inter" w:cs="Inter"/>
          <w:sz w:val="14"/>
          <w:szCs w:val="14"/>
        </w:rPr>
      </w:pPr>
      <w:r>
        <w:rPr>
          <w:rFonts w:ascii="Inter" w:eastAsia="Inter" w:hAnsi="Inter" w:cs="Inter"/>
          <w:sz w:val="14"/>
          <w:szCs w:val="14"/>
        </w:rPr>
        <w:t>6.1 Primary Government Sources</w:t>
      </w:r>
    </w:p>
    <w:p w14:paraId="0000011D"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 U.S. Treasury, Press Release JY1830 (Oct 2023) – Tax Incentives Fact Sheet: </w:t>
      </w:r>
      <w:hyperlink r:id="rId20">
        <w:r>
          <w:rPr>
            <w:rFonts w:ascii="Inter" w:eastAsia="Inter" w:hAnsi="Inter" w:cs="Inter"/>
            <w:color w:val="0563C1"/>
            <w:sz w:val="14"/>
            <w:szCs w:val="14"/>
            <w:u w:val="single"/>
          </w:rPr>
          <w:t>home.treasury.gov/news/press-releases/jy1830</w:t>
        </w:r>
      </w:hyperlink>
    </w:p>
    <w:p w14:paraId="0000011E"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 U.S. Treasury, Press Release JY2775 (Jan 2025) – §48E(h) Final Rules: </w:t>
      </w:r>
      <w:hyperlink r:id="rId21">
        <w:r>
          <w:rPr>
            <w:rFonts w:ascii="Inter" w:eastAsia="Inter" w:hAnsi="Inter" w:cs="Inter"/>
            <w:color w:val="0563C1"/>
            <w:sz w:val="14"/>
            <w:szCs w:val="14"/>
            <w:u w:val="single"/>
          </w:rPr>
          <w:t>home.treasury.gov/news/press-releases/jy2775</w:t>
        </w:r>
      </w:hyperlink>
    </w:p>
    <w:p w14:paraId="0000011F"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[3] IRS – Clean Electricity Low-Income Communities Bonus Credit Program (§48E(h)): </w:t>
      </w:r>
      <w:hyperlink r:id="rId22">
        <w:r>
          <w:rPr>
            <w:rFonts w:ascii="Inter" w:eastAsia="Inter" w:hAnsi="Inter" w:cs="Inter"/>
            <w:color w:val="0563C1"/>
            <w:sz w:val="14"/>
            <w:szCs w:val="14"/>
            <w:u w:val="single"/>
          </w:rPr>
          <w:t>irs.gov/credits-deductions/clean-electricity-low-income-communities-bonus-credit-amount-program</w:t>
        </w:r>
      </w:hyperlink>
    </w:p>
    <w:p w14:paraId="00000120"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 IRS – FAQs on Energy Communities: </w:t>
      </w:r>
      <w:hyperlink r:id="rId23">
        <w:r>
          <w:rPr>
            <w:rFonts w:ascii="Inter" w:eastAsia="Inter" w:hAnsi="Inter" w:cs="Inter"/>
            <w:color w:val="0563C1"/>
            <w:sz w:val="14"/>
            <w:szCs w:val="14"/>
            <w:u w:val="single"/>
          </w:rPr>
          <w:t>irs.gov/credits-deductions/frequently-asked-questions-for-energy-communities</w:t>
        </w:r>
      </w:hyperlink>
    </w:p>
    <w:p w14:paraId="00000121"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 IRS – Credits and Deductions Under the IRA: </w:t>
      </w:r>
      <w:hyperlink r:id="rId24">
        <w:r>
          <w:rPr>
            <w:rFonts w:ascii="Inter" w:eastAsia="Inter" w:hAnsi="Inter" w:cs="Inter"/>
            <w:color w:val="0563C1"/>
            <w:sz w:val="14"/>
            <w:szCs w:val="14"/>
            <w:u w:val="single"/>
          </w:rPr>
          <w:t>irs.gov/credits-and-deductions-under-the-inflation-reduction-act-of-2022</w:t>
        </w:r>
      </w:hyperlink>
    </w:p>
    <w:p w14:paraId="00000122"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[6] IRS Rev. Proc. 2025-11 – §48E(h) Application Process: </w:t>
      </w:r>
      <w:hyperlink r:id="rId25">
        <w:r>
          <w:rPr>
            <w:rFonts w:ascii="Inter" w:eastAsia="Inter" w:hAnsi="Inter" w:cs="Inter"/>
            <w:color w:val="0563C1"/>
            <w:sz w:val="14"/>
            <w:szCs w:val="14"/>
            <w:u w:val="single"/>
          </w:rPr>
          <w:t>irs.gov/pub/</w:t>
        </w:r>
        <w:proofErr w:type="spellStart"/>
        <w:r>
          <w:rPr>
            <w:rFonts w:ascii="Inter" w:eastAsia="Inter" w:hAnsi="Inter" w:cs="Inter"/>
            <w:color w:val="0563C1"/>
            <w:sz w:val="14"/>
            <w:szCs w:val="14"/>
            <w:u w:val="single"/>
          </w:rPr>
          <w:t>irs</w:t>
        </w:r>
        <w:proofErr w:type="spellEnd"/>
        <w:r>
          <w:rPr>
            <w:rFonts w:ascii="Inter" w:eastAsia="Inter" w:hAnsi="Inter" w:cs="Inter"/>
            <w:color w:val="0563C1"/>
            <w:sz w:val="14"/>
            <w:szCs w:val="14"/>
            <w:u w:val="single"/>
          </w:rPr>
          <w:t>-drop/rp-25-11.pdf</w:t>
        </w:r>
      </w:hyperlink>
    </w:p>
    <w:p w14:paraId="00000123"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[7] Federal Register – Final Rule, §48E(h) Program (Jan 13, 2025): </w:t>
      </w:r>
      <w:hyperlink r:id="rId26">
        <w:r>
          <w:rPr>
            <w:rFonts w:ascii="Inter" w:eastAsia="Inter" w:hAnsi="Inter" w:cs="Inter"/>
            <w:color w:val="0563C1"/>
            <w:sz w:val="14"/>
            <w:szCs w:val="14"/>
            <w:u w:val="single"/>
          </w:rPr>
          <w:t>federalregister.gov/documents/2025/01/13/2025-00331</w:t>
        </w:r>
      </w:hyperlink>
    </w:p>
    <w:p w14:paraId="00000124"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[8] Treasury – §48E Tribal Consultation Summary (Jan 2025): </w:t>
      </w:r>
      <w:hyperlink r:id="rId27">
        <w:r>
          <w:rPr>
            <w:rFonts w:ascii="Inter" w:eastAsia="Inter" w:hAnsi="Inter" w:cs="Inter"/>
            <w:color w:val="0563C1"/>
            <w:sz w:val="14"/>
            <w:szCs w:val="14"/>
            <w:u w:val="single"/>
          </w:rPr>
          <w:t>home.treasury.gov/system/files/136/48E-Tribal-Consultation-Summary-Federal-Response-1-8-25.pdf</w:t>
        </w:r>
      </w:hyperlink>
    </w:p>
    <w:p w14:paraId="00000125"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[9] DOE Office of Nuclear Energy – IRA Nuclear Power Article: </w:t>
      </w:r>
      <w:hyperlink r:id="rId28">
        <w:r>
          <w:rPr>
            <w:rFonts w:ascii="Inter" w:eastAsia="Inter" w:hAnsi="Inter" w:cs="Inter"/>
            <w:color w:val="0563C1"/>
            <w:sz w:val="14"/>
            <w:szCs w:val="14"/>
            <w:u w:val="single"/>
          </w:rPr>
          <w:t>energy.gov/ne/articles/inflation-reduction-act-keeps-momentum-building-nuclear-power</w:t>
        </w:r>
      </w:hyperlink>
    </w:p>
    <w:p w14:paraId="00000126"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[10] DOE Office of Indian Energy – Funding Opportunity 2025 Announcement: </w:t>
      </w:r>
      <w:hyperlink r:id="rId29">
        <w:r>
          <w:rPr>
            <w:rFonts w:ascii="Inter" w:eastAsia="Inter" w:hAnsi="Inter" w:cs="Inter"/>
            <w:color w:val="0563C1"/>
            <w:sz w:val="14"/>
            <w:szCs w:val="14"/>
            <w:u w:val="single"/>
          </w:rPr>
          <w:t>energy.gov/indianenergy/articles/us-department-energy-announce-funding-opportunity-energy-technology-0</w:t>
        </w:r>
      </w:hyperlink>
    </w:p>
    <w:p w14:paraId="00000127"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[11] DOE Office of Indian Energy – Funding Page: </w:t>
      </w:r>
      <w:hyperlink r:id="rId30">
        <w:r>
          <w:rPr>
            <w:rFonts w:ascii="Inter" w:eastAsia="Inter" w:hAnsi="Inter" w:cs="Inter"/>
            <w:color w:val="0563C1"/>
            <w:sz w:val="14"/>
            <w:szCs w:val="14"/>
            <w:u w:val="single"/>
          </w:rPr>
          <w:t>energy.gov/</w:t>
        </w:r>
        <w:proofErr w:type="spellStart"/>
        <w:r>
          <w:rPr>
            <w:rFonts w:ascii="Inter" w:eastAsia="Inter" w:hAnsi="Inter" w:cs="Inter"/>
            <w:color w:val="0563C1"/>
            <w:sz w:val="14"/>
            <w:szCs w:val="14"/>
            <w:u w:val="single"/>
          </w:rPr>
          <w:t>indianenergy</w:t>
        </w:r>
        <w:proofErr w:type="spellEnd"/>
        <w:r>
          <w:rPr>
            <w:rFonts w:ascii="Inter" w:eastAsia="Inter" w:hAnsi="Inter" w:cs="Inter"/>
            <w:color w:val="0563C1"/>
            <w:sz w:val="14"/>
            <w:szCs w:val="14"/>
            <w:u w:val="single"/>
          </w:rPr>
          <w:t>/funding</w:t>
        </w:r>
      </w:hyperlink>
    </w:p>
    <w:p w14:paraId="00000128"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[12] DOE "Unleashing Tribal Energy Development" $50M NOFO Announcement (March 2026): </w:t>
      </w:r>
      <w:hyperlink r:id="rId31">
        <w:r>
          <w:rPr>
            <w:rFonts w:ascii="Inter" w:eastAsia="Inter" w:hAnsi="Inter" w:cs="Inter"/>
            <w:color w:val="0563C1"/>
            <w:sz w:val="14"/>
            <w:szCs w:val="14"/>
            <w:u w:val="single"/>
          </w:rPr>
          <w:t>energy.gov/articles/energy-department-announces-50-million-investment-advance-affordable-reliable-and-secure</w:t>
        </w:r>
      </w:hyperlink>
    </w:p>
    <w:p w14:paraId="00000129" w14:textId="77777777" w:rsidR="002C014C" w:rsidRDefault="00000000">
      <w:pPr>
        <w:pBdr>
          <w:top w:val="nil"/>
          <w:left w:val="nil"/>
          <w:bottom w:val="nil"/>
          <w:right w:val="nil"/>
          <w:between w:val="nil"/>
        </w:pBdr>
        <w:spacing w:after="80"/>
        <w:ind w:left="720"/>
        <w:rPr>
          <w:rFonts w:ascii="Inter" w:eastAsia="Inter" w:hAnsi="Inter" w:cs="Inter"/>
          <w:sz w:val="14"/>
          <w:szCs w:val="14"/>
        </w:rPr>
      </w:pPr>
      <w:r>
        <w:rPr>
          <w:rFonts w:ascii="Inter" w:eastAsia="Inter" w:hAnsi="Inter" w:cs="Inter"/>
          <w:color w:val="000000"/>
          <w:sz w:val="14"/>
          <w:szCs w:val="14"/>
        </w:rPr>
        <w:t xml:space="preserve">Tribal Business News: </w:t>
      </w:r>
      <w:hyperlink r:id="rId32">
        <w:r>
          <w:rPr>
            <w:rFonts w:ascii="Inter" w:eastAsia="Inter" w:hAnsi="Inter" w:cs="Inter"/>
            <w:color w:val="0563C1"/>
            <w:sz w:val="14"/>
            <w:szCs w:val="14"/>
            <w:u w:val="single"/>
          </w:rPr>
          <w:t>https://tribalbusinessnews.com/sections/energy/15548-doe-announces-50m-tribal-energy-funding-opportunity-at-res</w:t>
        </w:r>
      </w:hyperlink>
    </w:p>
    <w:p w14:paraId="0000012A"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[13] DOE Office of Energy Dominance Financing (EDF): </w:t>
      </w:r>
      <w:hyperlink r:id="rId33">
        <w:r>
          <w:rPr>
            <w:rFonts w:ascii="Inter" w:eastAsia="Inter" w:hAnsi="Inter" w:cs="Inter"/>
            <w:color w:val="0563C1"/>
            <w:sz w:val="14"/>
            <w:szCs w:val="14"/>
            <w:u w:val="single"/>
          </w:rPr>
          <w:t>energy.gov/EDF</w:t>
        </w:r>
      </w:hyperlink>
    </w:p>
    <w:p w14:paraId="0000012B"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[14] DOE TEFP Frequently Asked Questions (80% cap, eligibility): </w:t>
      </w:r>
      <w:hyperlink r:id="rId34">
        <w:r>
          <w:rPr>
            <w:rFonts w:ascii="Inter" w:eastAsia="Inter" w:hAnsi="Inter" w:cs="Inter"/>
            <w:color w:val="0563C1"/>
            <w:sz w:val="14"/>
            <w:szCs w:val="14"/>
            <w:u w:val="single"/>
          </w:rPr>
          <w:t>energy.gov/edf/tribal-energy-financing-program-frequently-asked-questions</w:t>
        </w:r>
      </w:hyperlink>
    </w:p>
    <w:p w14:paraId="0000012C"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[15] DOE/NETL Energy Community Mapping Tool: </w:t>
      </w:r>
      <w:hyperlink r:id="rId35">
        <w:r>
          <w:rPr>
            <w:rFonts w:ascii="Inter" w:eastAsia="Inter" w:hAnsi="Inter" w:cs="Inter"/>
            <w:color w:val="0563C1"/>
            <w:sz w:val="14"/>
            <w:szCs w:val="14"/>
            <w:u w:val="single"/>
          </w:rPr>
          <w:t>arcgis.netl.doe.gov/portal/apps/</w:t>
        </w:r>
        <w:proofErr w:type="spellStart"/>
        <w:r>
          <w:rPr>
            <w:rFonts w:ascii="Inter" w:eastAsia="Inter" w:hAnsi="Inter" w:cs="Inter"/>
            <w:color w:val="0563C1"/>
            <w:sz w:val="14"/>
            <w:szCs w:val="14"/>
            <w:u w:val="single"/>
          </w:rPr>
          <w:t>experiencebuilder</w:t>
        </w:r>
        <w:proofErr w:type="spellEnd"/>
      </w:hyperlink>
    </w:p>
    <w:p w14:paraId="0000012D"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[16] Wilson </w:t>
      </w:r>
      <w:proofErr w:type="spellStart"/>
      <w:r>
        <w:rPr>
          <w:rFonts w:ascii="Inter" w:eastAsia="Inter" w:hAnsi="Inter" w:cs="Inter"/>
          <w:color w:val="000000"/>
          <w:sz w:val="14"/>
          <w:szCs w:val="14"/>
        </w:rPr>
        <w:t>Center</w:t>
      </w:r>
      <w:proofErr w:type="spellEnd"/>
      <w:r>
        <w:rPr>
          <w:rFonts w:ascii="Inter" w:eastAsia="Inter" w:hAnsi="Inter" w:cs="Inter"/>
          <w:color w:val="000000"/>
          <w:sz w:val="14"/>
          <w:szCs w:val="14"/>
        </w:rPr>
        <w:t xml:space="preserve"> – Nuclear Power is Tribal Power: </w:t>
      </w:r>
      <w:hyperlink r:id="rId36">
        <w:r>
          <w:rPr>
            <w:rFonts w:ascii="Inter" w:eastAsia="Inter" w:hAnsi="Inter" w:cs="Inter"/>
            <w:color w:val="0563C1"/>
            <w:sz w:val="14"/>
            <w:szCs w:val="14"/>
            <w:u w:val="single"/>
          </w:rPr>
          <w:t>wilsoncenter.org/article/nuclear-power-tribal-power</w:t>
        </w:r>
      </w:hyperlink>
    </w:p>
    <w:p w14:paraId="0000012E"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[17] Crux Climate – Transferable Tax Credits Market Pricing: </w:t>
      </w:r>
      <w:hyperlink r:id="rId37">
        <w:r>
          <w:rPr>
            <w:rFonts w:ascii="Inter" w:eastAsia="Inter" w:hAnsi="Inter" w:cs="Inter"/>
            <w:color w:val="0563C1"/>
            <w:sz w:val="14"/>
            <w:szCs w:val="14"/>
            <w:u w:val="single"/>
          </w:rPr>
          <w:t>cruxclimate.com/insights/transferable-tax-credits</w:t>
        </w:r>
      </w:hyperlink>
    </w:p>
    <w:p w14:paraId="0000012F"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[18] Morgan Lewis – Domestic Content Bonus Adder Mechanics (PTC vs ITC): </w:t>
      </w:r>
      <w:hyperlink r:id="rId38">
        <w:r>
          <w:rPr>
            <w:rFonts w:ascii="Inter" w:eastAsia="Inter" w:hAnsi="Inter" w:cs="Inter"/>
            <w:color w:val="0563C1"/>
            <w:sz w:val="14"/>
            <w:szCs w:val="14"/>
            <w:u w:val="single"/>
          </w:rPr>
          <w:t>morganlewis.com/pubs/2023/05/irs-releases-highly-anticipated-guidance-on-domestic-content-ira-tax-credit-adder</w:t>
        </w:r>
      </w:hyperlink>
    </w:p>
    <w:p w14:paraId="00000130"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[19] Plante Moran – PWA Requirements &amp; &lt;1MW Exemption: </w:t>
      </w:r>
      <w:hyperlink r:id="rId39">
        <w:r>
          <w:rPr>
            <w:rFonts w:ascii="Inter" w:eastAsia="Inter" w:hAnsi="Inter" w:cs="Inter"/>
            <w:color w:val="0563C1"/>
            <w:sz w:val="14"/>
            <w:szCs w:val="14"/>
            <w:u w:val="single"/>
          </w:rPr>
          <w:t>plantemoran.com/explore-our-thinking/insight/2025/01/prevailing-wage-requirements-for-bonus-ira-energy-tax-credits</w:t>
        </w:r>
      </w:hyperlink>
    </w:p>
    <w:p w14:paraId="00000131"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[20] DOE IE-Exchange Funding Portal: </w:t>
      </w:r>
      <w:hyperlink r:id="rId40">
        <w:r>
          <w:rPr>
            <w:rFonts w:ascii="Inter" w:eastAsia="Inter" w:hAnsi="Inter" w:cs="Inter"/>
            <w:color w:val="0563C1"/>
            <w:sz w:val="14"/>
            <w:szCs w:val="14"/>
            <w:u w:val="single"/>
          </w:rPr>
          <w:t>ie-exchange.energy.gov</w:t>
        </w:r>
      </w:hyperlink>
    </w:p>
    <w:p w14:paraId="00000132"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[21] DOE Tribal Energy Webinar (Treasury Briefing, Jan 2023): </w:t>
      </w:r>
      <w:hyperlink r:id="rId41">
        <w:r>
          <w:rPr>
            <w:rFonts w:ascii="Inter" w:eastAsia="Inter" w:hAnsi="Inter" w:cs="Inter"/>
            <w:color w:val="0563C1"/>
            <w:sz w:val="14"/>
            <w:szCs w:val="14"/>
            <w:u w:val="single"/>
          </w:rPr>
          <w:t>energy.gov/sites/default/files/2023-01/2-us-treasury-ie-ira-jan-2023.pdf</w:t>
        </w:r>
      </w:hyperlink>
    </w:p>
    <w:p w14:paraId="00000133"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[22] EPA – Federal Brownfields Programs (Energy Community): </w:t>
      </w:r>
      <w:hyperlink r:id="rId42">
        <w:r>
          <w:rPr>
            <w:rFonts w:ascii="Inter" w:eastAsia="Inter" w:hAnsi="Inter" w:cs="Inter"/>
            <w:color w:val="0563C1"/>
            <w:sz w:val="14"/>
            <w:szCs w:val="14"/>
            <w:u w:val="single"/>
          </w:rPr>
          <w:t>epa.gov/brownfields/federal-programs</w:t>
        </w:r>
      </w:hyperlink>
    </w:p>
    <w:p w14:paraId="00000134"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[23] Congressional Research Service (R48358) – Domestic Content Requirements: </w:t>
      </w:r>
      <w:hyperlink r:id="rId43">
        <w:r>
          <w:rPr>
            <w:rFonts w:ascii="Inter" w:eastAsia="Inter" w:hAnsi="Inter" w:cs="Inter"/>
            <w:color w:val="0563C1"/>
            <w:sz w:val="14"/>
            <w:szCs w:val="14"/>
            <w:u w:val="single"/>
          </w:rPr>
          <w:t>congress.gov/</w:t>
        </w:r>
        <w:proofErr w:type="spellStart"/>
        <w:r>
          <w:rPr>
            <w:rFonts w:ascii="Inter" w:eastAsia="Inter" w:hAnsi="Inter" w:cs="Inter"/>
            <w:color w:val="0563C1"/>
            <w:sz w:val="14"/>
            <w:szCs w:val="14"/>
            <w:u w:val="single"/>
          </w:rPr>
          <w:t>crs</w:t>
        </w:r>
        <w:proofErr w:type="spellEnd"/>
        <w:r>
          <w:rPr>
            <w:rFonts w:ascii="Inter" w:eastAsia="Inter" w:hAnsi="Inter" w:cs="Inter"/>
            <w:color w:val="0563C1"/>
            <w:sz w:val="14"/>
            <w:szCs w:val="14"/>
            <w:u w:val="single"/>
          </w:rPr>
          <w:t>-product/R48358</w:t>
        </w:r>
      </w:hyperlink>
    </w:p>
    <w:p w14:paraId="00000135"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[24] Congressional Research Service (IF11793) – Indian Energy Programs at DOE: </w:t>
      </w:r>
      <w:hyperlink r:id="rId44">
        <w:r>
          <w:rPr>
            <w:rFonts w:ascii="Inter" w:eastAsia="Inter" w:hAnsi="Inter" w:cs="Inter"/>
            <w:color w:val="0563C1"/>
            <w:sz w:val="14"/>
            <w:szCs w:val="14"/>
            <w:u w:val="single"/>
          </w:rPr>
          <w:t>congress.gov/</w:t>
        </w:r>
        <w:proofErr w:type="spellStart"/>
        <w:r>
          <w:rPr>
            <w:rFonts w:ascii="Inter" w:eastAsia="Inter" w:hAnsi="Inter" w:cs="Inter"/>
            <w:color w:val="0563C1"/>
            <w:sz w:val="14"/>
            <w:szCs w:val="14"/>
            <w:u w:val="single"/>
          </w:rPr>
          <w:t>crs</w:t>
        </w:r>
        <w:proofErr w:type="spellEnd"/>
        <w:r>
          <w:rPr>
            <w:rFonts w:ascii="Inter" w:eastAsia="Inter" w:hAnsi="Inter" w:cs="Inter"/>
            <w:color w:val="0563C1"/>
            <w:sz w:val="14"/>
            <w:szCs w:val="14"/>
            <w:u w:val="single"/>
          </w:rPr>
          <w:t>-product/IF11793</w:t>
        </w:r>
      </w:hyperlink>
    </w:p>
    <w:p w14:paraId="00000136"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[25] GAO-25-108720 – Tribal Energy Finance: DOE Actions Needed: </w:t>
      </w:r>
      <w:hyperlink r:id="rId45">
        <w:r>
          <w:rPr>
            <w:rFonts w:ascii="Inter" w:eastAsia="Inter" w:hAnsi="Inter" w:cs="Inter"/>
            <w:color w:val="0563C1"/>
            <w:sz w:val="14"/>
            <w:szCs w:val="14"/>
            <w:u w:val="single"/>
          </w:rPr>
          <w:t>files.gao.gov/reports/GAO-25-108720/index.html</w:t>
        </w:r>
      </w:hyperlink>
    </w:p>
    <w:p w14:paraId="00000137"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[26] NRC Tribal Policy Statement, 82 FR 2402 (Jan 9, 2017): </w:t>
      </w:r>
      <w:hyperlink r:id="rId46">
        <w:r>
          <w:rPr>
            <w:rFonts w:ascii="Inter" w:eastAsia="Inter" w:hAnsi="Inter" w:cs="Inter"/>
            <w:color w:val="0563C1"/>
            <w:sz w:val="14"/>
            <w:szCs w:val="14"/>
            <w:u w:val="single"/>
          </w:rPr>
          <w:t>https://www.nrc.gov/about-nrc/state-tribal/tps</w:t>
        </w:r>
      </w:hyperlink>
      <w:r>
        <w:rPr>
          <w:rFonts w:ascii="Inter" w:eastAsia="Inter" w:hAnsi="Inter" w:cs="Inter"/>
          <w:sz w:val="14"/>
          <w:szCs w:val="14"/>
        </w:rPr>
        <w:tab/>
      </w:r>
    </w:p>
    <w:p w14:paraId="00000138"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[27] NRC – Pursuing an Agreement with the NRC FAQs (tribal lands under exclusive federal jurisdiction): </w:t>
      </w:r>
      <w:hyperlink r:id="rId47">
        <w:r>
          <w:rPr>
            <w:rFonts w:ascii="Inter" w:eastAsia="Inter" w:hAnsi="Inter" w:cs="Inter"/>
            <w:color w:val="0563C1"/>
            <w:sz w:val="14"/>
            <w:szCs w:val="14"/>
            <w:u w:val="single"/>
          </w:rPr>
          <w:t>https://www.nrc.gov/about-nrc/state-tribal-programs/agreement-state-program/pursuing-an-agreement-with-the-nrc-faqs</w:t>
        </w:r>
      </w:hyperlink>
      <w:r>
        <w:rPr>
          <w:rFonts w:ascii="Inter" w:eastAsia="Inter" w:hAnsi="Inter" w:cs="Inter"/>
          <w:sz w:val="14"/>
          <w:szCs w:val="14"/>
        </w:rPr>
        <w:tab/>
      </w:r>
    </w:p>
    <w:p w14:paraId="00000139"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[28] NRC – Federally Recognized Tribal Lands Within 50 Miles of Nuclear Power Plants: </w:t>
      </w:r>
      <w:hyperlink r:id="rId48">
        <w:r>
          <w:rPr>
            <w:rFonts w:ascii="Inter" w:eastAsia="Inter" w:hAnsi="Inter" w:cs="Inter"/>
            <w:color w:val="0563C1"/>
            <w:sz w:val="14"/>
            <w:szCs w:val="14"/>
            <w:u w:val="single"/>
          </w:rPr>
          <w:t>https://www.nrc.gov/about-nrc/state-tribal/tribal-liaison-team/tribal-liaison-map</w:t>
        </w:r>
      </w:hyperlink>
      <w:r>
        <w:rPr>
          <w:rFonts w:ascii="Inter" w:eastAsia="Inter" w:hAnsi="Inter" w:cs="Inter"/>
          <w:sz w:val="14"/>
          <w:szCs w:val="14"/>
        </w:rPr>
        <w:tab/>
      </w:r>
    </w:p>
    <w:p w14:paraId="0000013A"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[29] NRC Office of Nuclear Material Safety and Safeguards – Procedure SA-500 (Jurisdiction Determinations): </w:t>
      </w:r>
      <w:hyperlink r:id="rId49">
        <w:r>
          <w:rPr>
            <w:rFonts w:ascii="Inter" w:eastAsia="Inter" w:hAnsi="Inter" w:cs="Inter"/>
            <w:color w:val="0563C1"/>
            <w:sz w:val="14"/>
            <w:szCs w:val="14"/>
            <w:u w:val="single"/>
          </w:rPr>
          <w:t>https://www.nrc.gov/docs/ML2322/ML23228A191.pdf</w:t>
        </w:r>
      </w:hyperlink>
      <w:r>
        <w:rPr>
          <w:rFonts w:ascii="Inter" w:eastAsia="Inter" w:hAnsi="Inter" w:cs="Inter"/>
          <w:sz w:val="14"/>
          <w:szCs w:val="14"/>
        </w:rPr>
        <w:tab/>
      </w:r>
    </w:p>
    <w:p w14:paraId="0000013B"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[30] Atomic Energy Act of 1954, as amended (42 U.S.C. § 2011 et seq.) – reactor licensing authority: </w:t>
      </w:r>
      <w:hyperlink r:id="rId50">
        <w:r>
          <w:rPr>
            <w:rFonts w:ascii="Inter" w:eastAsia="Inter" w:hAnsi="Inter" w:cs="Inter"/>
            <w:color w:val="0563C1"/>
            <w:sz w:val="14"/>
            <w:szCs w:val="14"/>
            <w:u w:val="single"/>
          </w:rPr>
          <w:t>https://www.law.cornell.edu/uscode/text/42/chapter-23</w:t>
        </w:r>
      </w:hyperlink>
      <w:r>
        <w:rPr>
          <w:rFonts w:ascii="Inter" w:eastAsia="Inter" w:hAnsi="Inter" w:cs="Inter"/>
          <w:sz w:val="14"/>
          <w:szCs w:val="14"/>
        </w:rPr>
        <w:tab/>
      </w:r>
    </w:p>
    <w:p w14:paraId="0000013C"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[31] Skull Valley Band of Goshute Indians v. Nielson, 376 F.3d 1223 (10th Cir. 2004) – federal </w:t>
      </w:r>
      <w:proofErr w:type="spellStart"/>
      <w:r>
        <w:rPr>
          <w:rFonts w:ascii="Inter" w:eastAsia="Inter" w:hAnsi="Inter" w:cs="Inter"/>
          <w:sz w:val="14"/>
          <w:szCs w:val="14"/>
        </w:rPr>
        <w:t>preemption</w:t>
      </w:r>
      <w:proofErr w:type="spellEnd"/>
      <w:r>
        <w:rPr>
          <w:rFonts w:ascii="Inter" w:eastAsia="Inter" w:hAnsi="Inter" w:cs="Inter"/>
          <w:sz w:val="14"/>
          <w:szCs w:val="14"/>
        </w:rPr>
        <w:t xml:space="preserve"> of state nuclear regulation on tribal lands: </w:t>
      </w:r>
      <w:hyperlink r:id="rId51">
        <w:r>
          <w:rPr>
            <w:rFonts w:ascii="Inter" w:eastAsia="Inter" w:hAnsi="Inter" w:cs="Inter"/>
            <w:color w:val="0563C1"/>
            <w:sz w:val="14"/>
            <w:szCs w:val="14"/>
            <w:u w:val="single"/>
          </w:rPr>
          <w:t>https://law.justia.com/cases/federal/appellate-courts/F3/376/1223/597592/</w:t>
        </w:r>
      </w:hyperlink>
      <w:r>
        <w:t xml:space="preserve"> </w:t>
      </w:r>
    </w:p>
    <w:p w14:paraId="0000013D" w14:textId="77777777" w:rsidR="002C014C" w:rsidRDefault="00000000">
      <w:pPr>
        <w:pBdr>
          <w:top w:val="nil"/>
          <w:left w:val="nil"/>
          <w:bottom w:val="nil"/>
          <w:right w:val="nil"/>
          <w:between w:val="nil"/>
        </w:pBdr>
        <w:spacing w:after="80"/>
        <w:ind w:left="720"/>
        <w:rPr>
          <w:rFonts w:ascii="Inter" w:eastAsia="Inter" w:hAnsi="Inter" w:cs="Inter"/>
          <w:sz w:val="14"/>
          <w:szCs w:val="14"/>
        </w:rPr>
      </w:pPr>
      <w:r>
        <w:rPr>
          <w:rFonts w:ascii="Inter" w:eastAsia="Inter" w:hAnsi="Inter" w:cs="Inter"/>
          <w:sz w:val="14"/>
          <w:szCs w:val="14"/>
        </w:rPr>
        <w:t xml:space="preserve"> Diné Citizens Against Ruining Our Environment v. Nuclear Regulatory Commission, 503 F.3d 145 (D.C. Cir. 2007): </w:t>
      </w:r>
      <w:hyperlink r:id="rId52">
        <w:r>
          <w:rPr>
            <w:rFonts w:ascii="Inter" w:eastAsia="Inter" w:hAnsi="Inter" w:cs="Inter"/>
            <w:color w:val="0563C1"/>
            <w:sz w:val="14"/>
            <w:szCs w:val="14"/>
            <w:u w:val="single"/>
          </w:rPr>
          <w:t>https://caselaw.findlaw.com/court/us-dc-circuit/1187398.html</w:t>
        </w:r>
      </w:hyperlink>
      <w:r>
        <w:rPr>
          <w:rFonts w:ascii="Inter" w:eastAsia="Inter" w:hAnsi="Inter" w:cs="Inter"/>
          <w:sz w:val="14"/>
          <w:szCs w:val="14"/>
        </w:rPr>
        <w:t xml:space="preserve"> &amp; </w:t>
      </w:r>
      <w:hyperlink r:id="rId53">
        <w:r>
          <w:rPr>
            <w:rFonts w:ascii="Inter" w:eastAsia="Inter" w:hAnsi="Inter" w:cs="Inter"/>
            <w:color w:val="0563C1"/>
            <w:sz w:val="14"/>
            <w:szCs w:val="14"/>
            <w:u w:val="single"/>
          </w:rPr>
          <w:t>https://www.narf.org/nill//bulletins/federal/documents/devia.pdf</w:t>
        </w:r>
      </w:hyperlink>
    </w:p>
    <w:p w14:paraId="0000013E"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[32] Navajo Nation Code, Title 18 – Diné Natural Resources Protection Act of 2005 (uranium mining ban): </w:t>
      </w:r>
      <w:hyperlink r:id="rId54">
        <w:r>
          <w:rPr>
            <w:rFonts w:ascii="Inter" w:eastAsia="Inter" w:hAnsi="Inter" w:cs="Inter"/>
            <w:color w:val="0563C1"/>
            <w:sz w:val="14"/>
            <w:szCs w:val="14"/>
            <w:u w:val="single"/>
          </w:rPr>
          <w:t>https://haulno.com/wp-content/uploads/2023/12/Dine-Natural-Resources-Protection-Act-of-2005.pdf</w:t>
        </w:r>
      </w:hyperlink>
      <w:r>
        <w:rPr>
          <w:rFonts w:ascii="Inter" w:eastAsia="Inter" w:hAnsi="Inter" w:cs="Inter"/>
          <w:sz w:val="14"/>
          <w:szCs w:val="14"/>
        </w:rPr>
        <w:tab/>
      </w:r>
      <w:r>
        <w:rPr>
          <w:rFonts w:ascii="Inter" w:eastAsia="Inter" w:hAnsi="Inter" w:cs="Inter"/>
          <w:sz w:val="14"/>
          <w:szCs w:val="14"/>
        </w:rPr>
        <w:tab/>
      </w:r>
    </w:p>
    <w:p w14:paraId="0000013F"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[33] Navajo Nation Radioactive and Related Substances Equipment, Vehicles, Persons, and Materials Transportation Act (2012); 2024 Navajo Nation Executive Order: </w:t>
      </w:r>
      <w:hyperlink r:id="rId55">
        <w:r>
          <w:rPr>
            <w:rFonts w:ascii="Inter" w:eastAsia="Inter" w:hAnsi="Inter" w:cs="Inter"/>
            <w:color w:val="0563C1"/>
            <w:sz w:val="14"/>
            <w:szCs w:val="14"/>
            <w:u w:val="single"/>
          </w:rPr>
          <w:t>https://opvp.navajo-nsn.gov</w:t>
        </w:r>
      </w:hyperlink>
      <w:r>
        <w:rPr>
          <w:rFonts w:ascii="Inter" w:eastAsia="Inter" w:hAnsi="Inter" w:cs="Inter"/>
          <w:sz w:val="14"/>
          <w:szCs w:val="14"/>
        </w:rPr>
        <w:tab/>
      </w:r>
      <w:r>
        <w:rPr>
          <w:rFonts w:ascii="Inter" w:eastAsia="Inter" w:hAnsi="Inter" w:cs="Inter"/>
          <w:sz w:val="14"/>
          <w:szCs w:val="14"/>
        </w:rPr>
        <w:tab/>
      </w:r>
    </w:p>
    <w:p w14:paraId="00000140"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lastRenderedPageBreak/>
        <w:t xml:space="preserve">[34] BIA Branch of Geospatial Support (BOGS) – AIAN Land Area Representation (LAR) shapefile portal: </w:t>
      </w:r>
      <w:hyperlink r:id="rId56">
        <w:r>
          <w:rPr>
            <w:rFonts w:ascii="Inter" w:eastAsia="Inter" w:hAnsi="Inter" w:cs="Inter"/>
            <w:color w:val="0563C1"/>
            <w:sz w:val="14"/>
            <w:szCs w:val="14"/>
            <w:u w:val="single"/>
          </w:rPr>
          <w:t>https://www.bia.gov/bia/ots/dris/bogs</w:t>
        </w:r>
      </w:hyperlink>
      <w:r>
        <w:rPr>
          <w:rFonts w:ascii="Inter" w:eastAsia="Inter" w:hAnsi="Inter" w:cs="Inter"/>
          <w:sz w:val="14"/>
          <w:szCs w:val="14"/>
        </w:rPr>
        <w:tab/>
      </w:r>
    </w:p>
    <w:p w14:paraId="00000141"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[35] U.S. Census Bureau – TIGER/Line AIANNH shapefiles (American Indian/Alaska Native/Native Hawaiian Areas): </w:t>
      </w:r>
      <w:hyperlink r:id="rId57">
        <w:r>
          <w:rPr>
            <w:rFonts w:ascii="Inter" w:eastAsia="Inter" w:hAnsi="Inter" w:cs="Inter"/>
            <w:color w:val="0563C1"/>
            <w:sz w:val="14"/>
            <w:szCs w:val="14"/>
            <w:u w:val="single"/>
          </w:rPr>
          <w:t>census.gov/geographies/mapping-files/time-series/geo/tiger-line-file.html</w:t>
        </w:r>
      </w:hyperlink>
      <w:r>
        <w:rPr>
          <w:rFonts w:ascii="Inter" w:eastAsia="Inter" w:hAnsi="Inter" w:cs="Inter"/>
          <w:sz w:val="14"/>
          <w:szCs w:val="14"/>
        </w:rPr>
        <w:tab/>
      </w:r>
    </w:p>
    <w:p w14:paraId="00000142"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[36] DOE/NETL IRA Energy Community Data Layers (shapefiles for coal-closure tracts and FFE MSAs/non-MSAs): </w:t>
      </w:r>
      <w:hyperlink r:id="rId58">
        <w:r>
          <w:rPr>
            <w:rFonts w:ascii="Inter" w:eastAsia="Inter" w:hAnsi="Inter" w:cs="Inter"/>
            <w:color w:val="0563C1"/>
            <w:sz w:val="14"/>
            <w:szCs w:val="14"/>
            <w:u w:val="single"/>
          </w:rPr>
          <w:t>edx.netl.doe.gov/dataset/</w:t>
        </w:r>
        <w:proofErr w:type="spellStart"/>
        <w:r>
          <w:rPr>
            <w:rFonts w:ascii="Inter" w:eastAsia="Inter" w:hAnsi="Inter" w:cs="Inter"/>
            <w:color w:val="0563C1"/>
            <w:sz w:val="14"/>
            <w:szCs w:val="14"/>
            <w:u w:val="single"/>
          </w:rPr>
          <w:t>ira</w:t>
        </w:r>
        <w:proofErr w:type="spellEnd"/>
        <w:r>
          <w:rPr>
            <w:rFonts w:ascii="Inter" w:eastAsia="Inter" w:hAnsi="Inter" w:cs="Inter"/>
            <w:color w:val="0563C1"/>
            <w:sz w:val="14"/>
            <w:szCs w:val="14"/>
            <w:u w:val="single"/>
          </w:rPr>
          <w:t>-energy-community-data-layers</w:t>
        </w:r>
      </w:hyperlink>
    </w:p>
    <w:p w14:paraId="00000143"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[37] DOE/NETL IRA Energy Community Tax Credit Bonus Mapping Application: </w:t>
      </w:r>
      <w:hyperlink r:id="rId59">
        <w:r>
          <w:rPr>
            <w:rFonts w:ascii="Inter" w:eastAsia="Inter" w:hAnsi="Inter" w:cs="Inter"/>
            <w:color w:val="0563C1"/>
            <w:sz w:val="14"/>
            <w:szCs w:val="14"/>
            <w:u w:val="single"/>
          </w:rPr>
          <w:t>https://arcgis.netl.doe.gov/portal/apps/experiencebuilder/experience/?id=a2ce47d4721a477a8701bd0e08495e1d</w:t>
        </w:r>
      </w:hyperlink>
      <w:r>
        <w:rPr>
          <w:rFonts w:ascii="Inter" w:eastAsia="Inter" w:hAnsi="Inter" w:cs="Inter"/>
          <w:sz w:val="14"/>
          <w:szCs w:val="14"/>
        </w:rPr>
        <w:tab/>
      </w:r>
    </w:p>
    <w:p w14:paraId="00000144"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[38] EPA Cleanups in My Community (CIMC) – Brownfield Properties geodatabase: </w:t>
      </w:r>
      <w:hyperlink r:id="rId60">
        <w:r>
          <w:rPr>
            <w:rFonts w:ascii="Inter" w:eastAsia="Inter" w:hAnsi="Inter" w:cs="Inter"/>
            <w:color w:val="0563C1"/>
            <w:sz w:val="14"/>
            <w:szCs w:val="14"/>
            <w:u w:val="single"/>
          </w:rPr>
          <w:t>epa.gov/cleanups/cleanups-my-community-web-map-service-and-more</w:t>
        </w:r>
      </w:hyperlink>
      <w:r>
        <w:rPr>
          <w:rFonts w:ascii="Inter" w:eastAsia="Inter" w:hAnsi="Inter" w:cs="Inter"/>
          <w:sz w:val="14"/>
          <w:szCs w:val="14"/>
        </w:rPr>
        <w:tab/>
      </w:r>
      <w:r>
        <w:rPr>
          <w:rFonts w:ascii="Inter" w:eastAsia="Inter" w:hAnsi="Inter" w:cs="Inter"/>
          <w:sz w:val="14"/>
          <w:szCs w:val="14"/>
        </w:rPr>
        <w:tab/>
      </w:r>
    </w:p>
    <w:p w14:paraId="00000145"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[39] EPA Region 9 – Navajo Nation Abandoned Uranium Mines: </w:t>
      </w:r>
      <w:hyperlink r:id="rId61">
        <w:r>
          <w:rPr>
            <w:rFonts w:ascii="Inter" w:eastAsia="Inter" w:hAnsi="Inter" w:cs="Inter"/>
            <w:color w:val="0563C1"/>
            <w:sz w:val="14"/>
            <w:szCs w:val="14"/>
            <w:u w:val="single"/>
          </w:rPr>
          <w:t>epa.gov/</w:t>
        </w:r>
        <w:proofErr w:type="spellStart"/>
        <w:r>
          <w:rPr>
            <w:rFonts w:ascii="Inter" w:eastAsia="Inter" w:hAnsi="Inter" w:cs="Inter"/>
            <w:color w:val="0563C1"/>
            <w:sz w:val="14"/>
            <w:szCs w:val="14"/>
            <w:u w:val="single"/>
          </w:rPr>
          <w:t>navajo</w:t>
        </w:r>
        <w:proofErr w:type="spellEnd"/>
        <w:r>
          <w:rPr>
            <w:rFonts w:ascii="Inter" w:eastAsia="Inter" w:hAnsi="Inter" w:cs="Inter"/>
            <w:color w:val="0563C1"/>
            <w:sz w:val="14"/>
            <w:szCs w:val="14"/>
            <w:u w:val="single"/>
          </w:rPr>
          <w:t>-nation-uranium-cleanup</w:t>
        </w:r>
      </w:hyperlink>
      <w:r>
        <w:rPr>
          <w:rFonts w:ascii="Inter" w:eastAsia="Inter" w:hAnsi="Inter" w:cs="Inter"/>
          <w:sz w:val="14"/>
          <w:szCs w:val="14"/>
        </w:rPr>
        <w:tab/>
      </w:r>
    </w:p>
    <w:p w14:paraId="00000146"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sz w:val="14"/>
          <w:szCs w:val="14"/>
        </w:rPr>
        <w:t xml:space="preserve">[40] Climate Cabinet Education – Tax Credit Bonuses Map (combined Justice40, energy community, and low-income census tract layers): </w:t>
      </w:r>
      <w:hyperlink r:id="rId62">
        <w:r>
          <w:rPr>
            <w:rFonts w:ascii="Inter" w:eastAsia="Inter" w:hAnsi="Inter" w:cs="Inter"/>
            <w:color w:val="0563C1"/>
            <w:sz w:val="14"/>
            <w:szCs w:val="14"/>
            <w:u w:val="single"/>
          </w:rPr>
          <w:t>climatecabineteducation.org/tax-credit-bonuses-map/</w:t>
        </w:r>
      </w:hyperlink>
    </w:p>
    <w:p w14:paraId="00000147" w14:textId="77777777" w:rsidR="002C014C" w:rsidRDefault="00000000">
      <w:pPr>
        <w:pStyle w:val="Heading3"/>
        <w:rPr>
          <w:rFonts w:ascii="Inter" w:eastAsia="Inter" w:hAnsi="Inter" w:cs="Inter"/>
          <w:sz w:val="14"/>
          <w:szCs w:val="14"/>
        </w:rPr>
      </w:pPr>
      <w:r>
        <w:rPr>
          <w:rFonts w:ascii="Inter" w:eastAsia="Inter" w:hAnsi="Inter" w:cs="Inter"/>
          <w:sz w:val="14"/>
          <w:szCs w:val="14"/>
        </w:rPr>
        <w:t>6.2 Industry &amp; Legal Analysis</w:t>
      </w:r>
    </w:p>
    <w:p w14:paraId="00000148"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[41] Morgan Lewis – Impact of OBBBA on Nuclear Tax Incentives (July 2025): </w:t>
      </w:r>
      <w:hyperlink r:id="rId63">
        <w:r>
          <w:rPr>
            <w:rFonts w:ascii="Inter" w:eastAsia="Inter" w:hAnsi="Inter" w:cs="Inter"/>
            <w:color w:val="0563C1"/>
            <w:sz w:val="14"/>
            <w:szCs w:val="14"/>
            <w:u w:val="single"/>
          </w:rPr>
          <w:t>morganlewis.com/pubs/2025/07/the-impact-of-the-one-big-beautiful-bill-act-on-nuclear-tax-incentives</w:t>
        </w:r>
      </w:hyperlink>
    </w:p>
    <w:p w14:paraId="00000149"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[42] Morgan Lewis – IRA Boosts Nuclear Power (Aug 2022): </w:t>
      </w:r>
      <w:hyperlink r:id="rId64">
        <w:r>
          <w:rPr>
            <w:rFonts w:ascii="Inter" w:eastAsia="Inter" w:hAnsi="Inter" w:cs="Inter"/>
            <w:color w:val="0563C1"/>
            <w:sz w:val="14"/>
            <w:szCs w:val="14"/>
            <w:u w:val="single"/>
          </w:rPr>
          <w:t>morganlewis.com/pubs/2022/08/inflation-reduction-act-of-2022-boosts-nuclear-power-with-tax-credits-and-funding</w:t>
        </w:r>
      </w:hyperlink>
    </w:p>
    <w:p w14:paraId="0000014A"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[43] Sidley Austin – Navigating the OBBBA Energy Landscape: </w:t>
      </w:r>
      <w:hyperlink r:id="rId65">
        <w:r>
          <w:rPr>
            <w:rFonts w:ascii="Inter" w:eastAsia="Inter" w:hAnsi="Inter" w:cs="Inter"/>
            <w:color w:val="0563C1"/>
            <w:sz w:val="14"/>
            <w:szCs w:val="14"/>
            <w:u w:val="single"/>
          </w:rPr>
          <w:t>sidley.com/en/insights/newsupdates/2025/07/the-one-big-beautiful-bill-act-navigating-the-new-energy-landscape</w:t>
        </w:r>
      </w:hyperlink>
    </w:p>
    <w:p w14:paraId="0000014B"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[44] Baker Botts – OBBBA Clean Energy Tax Landscape (July 2025): </w:t>
      </w:r>
      <w:hyperlink r:id="rId66">
        <w:r>
          <w:rPr>
            <w:rFonts w:ascii="Inter" w:eastAsia="Inter" w:hAnsi="Inter" w:cs="Inter"/>
            <w:color w:val="0563C1"/>
            <w:sz w:val="14"/>
            <w:szCs w:val="14"/>
            <w:u w:val="single"/>
          </w:rPr>
          <w:t>bakerbotts.com/thought-leadership/publications/2025/july/one-big-beautiful-bill-act-substantially-alters-clean-energy-tax-landscape</w:t>
        </w:r>
      </w:hyperlink>
    </w:p>
    <w:p w14:paraId="0000014C"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[45] Kirkland &amp; Ellis – OBBBA Brings Big Changes to Green Energy Tax Credits: </w:t>
      </w:r>
      <w:hyperlink r:id="rId67">
        <w:r>
          <w:rPr>
            <w:rFonts w:ascii="Inter" w:eastAsia="Inter" w:hAnsi="Inter" w:cs="Inter"/>
            <w:color w:val="0563C1"/>
            <w:sz w:val="14"/>
            <w:szCs w:val="14"/>
            <w:u w:val="single"/>
          </w:rPr>
          <w:t>kirkland.com/publications/kirkland-alert/2025/08/one-big-beautiful-bill-act-brings-big-changes-to-green-energy-tax-credits</w:t>
        </w:r>
      </w:hyperlink>
    </w:p>
    <w:p w14:paraId="0000014D"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[46] Latham &amp; Watkins – OBBBA Disrupts Clean Energy Investment: </w:t>
      </w:r>
      <w:hyperlink r:id="rId68">
        <w:r>
          <w:rPr>
            <w:rFonts w:ascii="Inter" w:eastAsia="Inter" w:hAnsi="Inter" w:cs="Inter"/>
            <w:color w:val="0563C1"/>
            <w:sz w:val="14"/>
            <w:szCs w:val="14"/>
            <w:u w:val="single"/>
          </w:rPr>
          <w:t>lw.com/en/insights/one-big-beautiful-bill-new-law-disrupts-clean-energy-investment</w:t>
        </w:r>
      </w:hyperlink>
    </w:p>
    <w:p w14:paraId="0000014E"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[47] Quarles &amp; Brady (Pilar Thomas) – A Summary of the Inflation Reduction Act for Tribal Governments (Nov. 7, 2022), via JD Supra: </w:t>
      </w:r>
      <w:hyperlink r:id="rId69">
        <w:r>
          <w:rPr>
            <w:rFonts w:ascii="Inter" w:eastAsia="Inter" w:hAnsi="Inter" w:cs="Inter"/>
            <w:color w:val="0563C1"/>
            <w:sz w:val="14"/>
            <w:szCs w:val="14"/>
            <w:u w:val="single"/>
          </w:rPr>
          <w:t>jdsupra.com/legalnews/a-summary-of-inflation-reduction-act-4743409/</w:t>
        </w:r>
      </w:hyperlink>
      <w:r>
        <w:rPr>
          <w:rFonts w:ascii="Inter" w:eastAsia="Inter" w:hAnsi="Inter" w:cs="Inter"/>
          <w:color w:val="000000"/>
          <w:sz w:val="14"/>
          <w:szCs w:val="14"/>
        </w:rPr>
        <w:tab/>
      </w:r>
    </w:p>
    <w:p w14:paraId="0000014F"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[48] Moss Adams – Overview of IRA Clean Energy Tax Legislation: </w:t>
      </w:r>
      <w:hyperlink r:id="rId70">
        <w:r>
          <w:rPr>
            <w:rFonts w:ascii="Inter" w:eastAsia="Inter" w:hAnsi="Inter" w:cs="Inter"/>
            <w:color w:val="0563C1"/>
            <w:sz w:val="14"/>
            <w:szCs w:val="14"/>
            <w:u w:val="single"/>
          </w:rPr>
          <w:t>mossadams.com/articles/2022/08/inflation-reduction-act-clean-energy-credits</w:t>
        </w:r>
      </w:hyperlink>
    </w:p>
    <w:p w14:paraId="00000150"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[49] Nixon Peabody – Energy Community Bonus Eligibility: </w:t>
      </w:r>
      <w:hyperlink r:id="rId71">
        <w:r>
          <w:rPr>
            <w:rFonts w:ascii="Inter" w:eastAsia="Inter" w:hAnsi="Inter" w:cs="Inter"/>
            <w:color w:val="0563C1"/>
            <w:sz w:val="14"/>
            <w:szCs w:val="14"/>
            <w:u w:val="single"/>
          </w:rPr>
          <w:t>nixonpeabody.com/insights/alerts/2023/04/27/eligibility-requirements-for-energy-community-bonus-tax-credits</w:t>
        </w:r>
      </w:hyperlink>
    </w:p>
    <w:p w14:paraId="00000151"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[50] NC Clean Energy Technology </w:t>
      </w:r>
      <w:proofErr w:type="spellStart"/>
      <w:r>
        <w:rPr>
          <w:rFonts w:ascii="Inter" w:eastAsia="Inter" w:hAnsi="Inter" w:cs="Inter"/>
          <w:color w:val="000000"/>
          <w:sz w:val="14"/>
          <w:szCs w:val="14"/>
        </w:rPr>
        <w:t>Center</w:t>
      </w:r>
      <w:proofErr w:type="spellEnd"/>
      <w:r>
        <w:rPr>
          <w:rFonts w:ascii="Inter" w:eastAsia="Inter" w:hAnsi="Inter" w:cs="Inter"/>
          <w:color w:val="000000"/>
          <w:sz w:val="14"/>
          <w:szCs w:val="14"/>
        </w:rPr>
        <w:t xml:space="preserve"> – 2024 Advanced Nuclear Review: </w:t>
      </w:r>
      <w:hyperlink r:id="rId72">
        <w:r>
          <w:rPr>
            <w:rFonts w:ascii="Inter" w:eastAsia="Inter" w:hAnsi="Inter" w:cs="Inter"/>
            <w:color w:val="0563C1"/>
            <w:sz w:val="14"/>
            <w:szCs w:val="14"/>
            <w:u w:val="single"/>
          </w:rPr>
          <w:t>nccleantech.ncsu.edu/2025/01/28/2024-in-review-navigating-the-advanced-nuclear-landscape</w:t>
        </w:r>
      </w:hyperlink>
    </w:p>
    <w:p w14:paraId="00000152"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[51] Nuclear Innovation Alliance – Importance of Tax Credits for U.S. Nuclear Leadership: </w:t>
      </w:r>
      <w:hyperlink r:id="rId73">
        <w:r>
          <w:rPr>
            <w:rFonts w:ascii="Inter" w:eastAsia="Inter" w:hAnsi="Inter" w:cs="Inter"/>
            <w:color w:val="0563C1"/>
            <w:sz w:val="14"/>
            <w:szCs w:val="14"/>
            <w:u w:val="single"/>
          </w:rPr>
          <w:t>nuclearinnovationalliance.org/sites/default/files/2025-03/Importance%20of%20Tax%20Credits%20-%20Final.pdf</w:t>
        </w:r>
      </w:hyperlink>
    </w:p>
    <w:p w14:paraId="00000153"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[52] Nuclear Innovation Alliance – Implications of IRA Tax Credits for Advanced Nuclear (Dec 2023): </w:t>
      </w:r>
      <w:hyperlink r:id="rId74">
        <w:r>
          <w:rPr>
            <w:rFonts w:ascii="Inter" w:eastAsia="Inter" w:hAnsi="Inter" w:cs="Inter"/>
            <w:color w:val="0563C1"/>
            <w:sz w:val="14"/>
            <w:szCs w:val="14"/>
            <w:u w:val="single"/>
          </w:rPr>
          <w:t>nuclearinnovationalliance.org/sites/default/files/2023-12/Final%20Report%20V1%20-%20Implications%20of%20Inflation%20Reduction%20Act%20Tax%20Credits%20-%20December%202023.pdf</w:t>
        </w:r>
      </w:hyperlink>
    </w:p>
    <w:p w14:paraId="00000154"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[53] Law Journal for Social Justice – Tribes &amp; §48 Tax Credits Under the IRA: </w:t>
      </w:r>
      <w:hyperlink r:id="rId75">
        <w:r>
          <w:rPr>
            <w:rFonts w:ascii="Inter" w:eastAsia="Inter" w:hAnsi="Inter" w:cs="Inter"/>
            <w:color w:val="0563C1"/>
            <w:sz w:val="14"/>
            <w:szCs w:val="14"/>
            <w:u w:val="single"/>
          </w:rPr>
          <w:t>ljsj.wordpress.com/2024/02/02/tribes-may-take-advantage-of-section-48-tax-credits-under-the-inflation-reduction-act-to-develop-clean-energy-projects</w:t>
        </w:r>
      </w:hyperlink>
    </w:p>
    <w:p w14:paraId="00000155"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[54] IRS Notice 2023-29 – Energy Community Bonus Credit Guidance: </w:t>
      </w:r>
      <w:hyperlink r:id="rId76">
        <w:r>
          <w:rPr>
            <w:rFonts w:ascii="Inter" w:eastAsia="Inter" w:hAnsi="Inter" w:cs="Inter"/>
            <w:color w:val="0563C1"/>
            <w:sz w:val="14"/>
            <w:szCs w:val="14"/>
            <w:u w:val="single"/>
          </w:rPr>
          <w:t>irs.gov/pub/</w:t>
        </w:r>
        <w:proofErr w:type="spellStart"/>
        <w:r>
          <w:rPr>
            <w:rFonts w:ascii="Inter" w:eastAsia="Inter" w:hAnsi="Inter" w:cs="Inter"/>
            <w:color w:val="0563C1"/>
            <w:sz w:val="14"/>
            <w:szCs w:val="14"/>
            <w:u w:val="single"/>
          </w:rPr>
          <w:t>irs</w:t>
        </w:r>
        <w:proofErr w:type="spellEnd"/>
        <w:r>
          <w:rPr>
            <w:rFonts w:ascii="Inter" w:eastAsia="Inter" w:hAnsi="Inter" w:cs="Inter"/>
            <w:color w:val="0563C1"/>
            <w:sz w:val="14"/>
            <w:szCs w:val="14"/>
            <w:u w:val="single"/>
          </w:rPr>
          <w:t>-drop/n-23-29.pdf</w:t>
        </w:r>
      </w:hyperlink>
    </w:p>
    <w:p w14:paraId="00000156"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[55] IRS Notice 2023-38 – Domestic Content Bonus Credit Guidance: </w:t>
      </w:r>
      <w:hyperlink r:id="rId77">
        <w:r>
          <w:rPr>
            <w:rFonts w:ascii="Inter" w:eastAsia="Inter" w:hAnsi="Inter" w:cs="Inter"/>
            <w:color w:val="0563C1"/>
            <w:sz w:val="14"/>
            <w:szCs w:val="14"/>
            <w:u w:val="single"/>
          </w:rPr>
          <w:t>irs.gov/pub/</w:t>
        </w:r>
        <w:proofErr w:type="spellStart"/>
        <w:r>
          <w:rPr>
            <w:rFonts w:ascii="Inter" w:eastAsia="Inter" w:hAnsi="Inter" w:cs="Inter"/>
            <w:color w:val="0563C1"/>
            <w:sz w:val="14"/>
            <w:szCs w:val="14"/>
            <w:u w:val="single"/>
          </w:rPr>
          <w:t>irs</w:t>
        </w:r>
        <w:proofErr w:type="spellEnd"/>
        <w:r>
          <w:rPr>
            <w:rFonts w:ascii="Inter" w:eastAsia="Inter" w:hAnsi="Inter" w:cs="Inter"/>
            <w:color w:val="0563C1"/>
            <w:sz w:val="14"/>
            <w:szCs w:val="14"/>
            <w:u w:val="single"/>
          </w:rPr>
          <w:t>-drop/n-23-38.pdf</w:t>
        </w:r>
      </w:hyperlink>
    </w:p>
    <w:p w14:paraId="00000157"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[56] IRS – Register for Elective Payment or Transfer of Credits (Pre-Filing Registration, 120-Day Recommendation): </w:t>
      </w:r>
      <w:hyperlink r:id="rId78">
        <w:r>
          <w:rPr>
            <w:rFonts w:ascii="Inter" w:eastAsia="Inter" w:hAnsi="Inter" w:cs="Inter"/>
            <w:color w:val="0563C1"/>
            <w:sz w:val="14"/>
            <w:szCs w:val="14"/>
            <w:u w:val="single"/>
          </w:rPr>
          <w:t>irs.gov/credits-deductions/register-for-elective-payment-or-transfer-of-credits</w:t>
        </w:r>
      </w:hyperlink>
    </w:p>
    <w:p w14:paraId="00000158"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[57] Multinational Monitor (Sept 1995) – Native American Tribes and Nuclear Waste (Mescalero 490–362, Tonkawa 1994 referenda, Yakama/Spokane positions): </w:t>
      </w:r>
      <w:hyperlink r:id="rId79">
        <w:r>
          <w:rPr>
            <w:rFonts w:ascii="Inter" w:eastAsia="Inter" w:hAnsi="Inter" w:cs="Inter"/>
            <w:color w:val="0563C1"/>
            <w:sz w:val="14"/>
            <w:szCs w:val="14"/>
            <w:u w:val="single"/>
          </w:rPr>
          <w:t>multinationalmonitor.org/hyper/mm0995.07.html</w:t>
        </w:r>
      </w:hyperlink>
    </w:p>
    <w:p w14:paraId="00000159"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[58] Nuclear Innovation Alliance – Promoting Efficient NRC Advanced Reactor Licensing Reviews (Dec 2021): </w:t>
      </w:r>
      <w:hyperlink r:id="rId80">
        <w:r>
          <w:rPr>
            <w:rFonts w:ascii="Inter" w:eastAsia="Inter" w:hAnsi="Inter" w:cs="Inter"/>
            <w:color w:val="0563C1"/>
            <w:sz w:val="14"/>
            <w:szCs w:val="14"/>
            <w:u w:val="single"/>
          </w:rPr>
          <w:t>nuclearinnovationalliance.org/sites/default/files/2021-12/NIA%20Promoting%20Efficient%20NRC%20Advanced%20Reactor%20Licensing%20Reviews%20to%20Enable%20Rapid%20Decarbonization.pdf</w:t>
        </w:r>
      </w:hyperlink>
    </w:p>
    <w:p w14:paraId="0000015A" w14:textId="77777777" w:rsidR="002C014C" w:rsidRDefault="00000000">
      <w:pPr>
        <w:numPr>
          <w:ilvl w:val="0"/>
          <w:numId w:val="1"/>
        </w:numPr>
        <w:pBdr>
          <w:top w:val="nil"/>
          <w:left w:val="nil"/>
          <w:bottom w:val="nil"/>
          <w:right w:val="nil"/>
          <w:between w:val="nil"/>
        </w:pBdr>
        <w:spacing w:after="80"/>
        <w:rPr>
          <w:rFonts w:ascii="Inter" w:eastAsia="Inter" w:hAnsi="Inter" w:cs="Inter"/>
          <w:sz w:val="14"/>
          <w:szCs w:val="14"/>
        </w:rPr>
      </w:pPr>
      <w:r>
        <w:rPr>
          <w:rFonts w:ascii="Inter" w:eastAsia="Inter" w:hAnsi="Inter" w:cs="Inter"/>
          <w:color w:val="000000"/>
          <w:sz w:val="14"/>
          <w:szCs w:val="14"/>
        </w:rPr>
        <w:t xml:space="preserve">[59] DOE Loan Programs Office – Pricing for LPO Financing by Program (FFB liquidity + risk-based charge for TEFP and Title 17): </w:t>
      </w:r>
      <w:hyperlink r:id="rId81">
        <w:r>
          <w:rPr>
            <w:rFonts w:ascii="Inter" w:eastAsia="Inter" w:hAnsi="Inter" w:cs="Inter"/>
            <w:color w:val="0563C1"/>
            <w:sz w:val="14"/>
            <w:szCs w:val="14"/>
            <w:u w:val="single"/>
          </w:rPr>
          <w:t>energy.gov/</w:t>
        </w:r>
        <w:proofErr w:type="spellStart"/>
        <w:r>
          <w:rPr>
            <w:rFonts w:ascii="Inter" w:eastAsia="Inter" w:hAnsi="Inter" w:cs="Inter"/>
            <w:color w:val="0563C1"/>
            <w:sz w:val="14"/>
            <w:szCs w:val="14"/>
            <w:u w:val="single"/>
          </w:rPr>
          <w:t>lpo</w:t>
        </w:r>
        <w:proofErr w:type="spellEnd"/>
        <w:r>
          <w:rPr>
            <w:rFonts w:ascii="Inter" w:eastAsia="Inter" w:hAnsi="Inter" w:cs="Inter"/>
            <w:color w:val="0563C1"/>
            <w:sz w:val="14"/>
            <w:szCs w:val="14"/>
            <w:u w:val="single"/>
          </w:rPr>
          <w:t>/articles/pricing-</w:t>
        </w:r>
        <w:proofErr w:type="spellStart"/>
        <w:r>
          <w:rPr>
            <w:rFonts w:ascii="Inter" w:eastAsia="Inter" w:hAnsi="Inter" w:cs="Inter"/>
            <w:color w:val="0563C1"/>
            <w:sz w:val="14"/>
            <w:szCs w:val="14"/>
            <w:u w:val="single"/>
          </w:rPr>
          <w:t>lpo</w:t>
        </w:r>
        <w:proofErr w:type="spellEnd"/>
        <w:r>
          <w:rPr>
            <w:rFonts w:ascii="Inter" w:eastAsia="Inter" w:hAnsi="Inter" w:cs="Inter"/>
            <w:color w:val="0563C1"/>
            <w:sz w:val="14"/>
            <w:szCs w:val="14"/>
            <w:u w:val="single"/>
          </w:rPr>
          <w:t>-financing-program</w:t>
        </w:r>
      </w:hyperlink>
    </w:p>
    <w:p w14:paraId="0000015B" w14:textId="77777777" w:rsidR="002C014C" w:rsidRDefault="002C014C"/>
    <w:sectPr w:rsidR="002C014C">
      <w:headerReference w:type="even" r:id="rId82"/>
      <w:headerReference w:type="default" r:id="rId83"/>
      <w:footerReference w:type="even" r:id="rId84"/>
      <w:footerReference w:type="default" r:id="rId85"/>
      <w:headerReference w:type="first" r:id="rId86"/>
      <w:footerReference w:type="first" r:id="rId87"/>
      <w:pgSz w:w="12240" w:h="15840"/>
      <w:pgMar w:top="1440" w:right="1440" w:bottom="1440" w:left="1440" w:header="680"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0A6FB" w14:textId="77777777" w:rsidR="00B506E9" w:rsidRDefault="00B506E9">
      <w:r>
        <w:separator/>
      </w:r>
    </w:p>
  </w:endnote>
  <w:endnote w:type="continuationSeparator" w:id="0">
    <w:p w14:paraId="74C3AC3A" w14:textId="77777777" w:rsidR="00B506E9" w:rsidRDefault="00B50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27C38CC-54A8-4C27-B4FD-4A0AF644A55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04BF160D-3977-403C-8104-4C4301263764}"/>
  </w:font>
  <w:font w:name="Times New Roman">
    <w:panose1 w:val="02020603050405020304"/>
    <w:charset w:val="00"/>
    <w:family w:val="roman"/>
    <w:pitch w:val="variable"/>
    <w:sig w:usb0="E0002EFF" w:usb1="C000785B" w:usb2="00000009" w:usb3="00000000" w:csb0="000001FF" w:csb1="00000000"/>
  </w:font>
  <w:font w:name="Inter">
    <w:panose1 w:val="02000503000000020004"/>
    <w:charset w:val="00"/>
    <w:family w:val="auto"/>
    <w:pitch w:val="variable"/>
    <w:sig w:usb0="E00002FF" w:usb1="1200A1FF" w:usb2="00000000" w:usb3="00000000" w:csb0="0000019F" w:csb1="00000000"/>
    <w:embedRegular r:id="rId3" w:fontKey="{B71E3165-F7BA-494F-868C-6DBEA643A898}"/>
    <w:embedBold r:id="rId4" w:fontKey="{47632532-F853-4E8D-9639-EA1C3833D23A}"/>
    <w:embedItalic r:id="rId5" w:fontKey="{621CD300-89EF-432A-A719-99935A9FC46C}"/>
    <w:embedBoldItalic r:id="rId6" w:fontKey="{55390726-D55E-4CC0-8B45-25460DED91A9}"/>
  </w:font>
  <w:font w:name="Space Grotesk">
    <w:panose1 w:val="00000000000000000000"/>
    <w:charset w:val="00"/>
    <w:family w:val="auto"/>
    <w:pitch w:val="variable"/>
    <w:sig w:usb0="A10000FF" w:usb1="5000207B" w:usb2="00000000" w:usb3="00000000" w:csb0="00000193" w:csb1="00000000"/>
    <w:embedRegular r:id="rId7" w:fontKey="{343C0D86-CFF2-455B-9107-B0ACB4E608DC}"/>
  </w:font>
  <w:font w:name="Cambria">
    <w:panose1 w:val="02040503050406030204"/>
    <w:charset w:val="00"/>
    <w:family w:val="roman"/>
    <w:pitch w:val="variable"/>
    <w:sig w:usb0="E00006FF" w:usb1="420024FF" w:usb2="02000000" w:usb3="00000000" w:csb0="0000019F" w:csb1="00000000"/>
    <w:embedRegular r:id="rId8" w:fontKey="{8EC1E052-D4A9-4AF4-A3F1-51072BD516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291F" w14:textId="77777777" w:rsidR="003B197B" w:rsidRDefault="003B19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D" w14:textId="23B97A15" w:rsidR="002C014C"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3B197B">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3B197B">
      <w:rPr>
        <w:noProof/>
        <w:color w:val="808080"/>
        <w:sz w:val="18"/>
        <w:szCs w:val="18"/>
      </w:rPr>
      <w:t>2</w:t>
    </w:r>
    <w:r>
      <w:rPr>
        <w:color w:val="8080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F1281" w14:textId="77777777" w:rsidR="003B197B" w:rsidRDefault="003B1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98080" w14:textId="77777777" w:rsidR="00B506E9" w:rsidRDefault="00B506E9">
      <w:r>
        <w:separator/>
      </w:r>
    </w:p>
  </w:footnote>
  <w:footnote w:type="continuationSeparator" w:id="0">
    <w:p w14:paraId="2FD2FBB9" w14:textId="77777777" w:rsidR="00B506E9" w:rsidRDefault="00B506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F6ADB" w14:textId="77777777" w:rsidR="003B197B" w:rsidRDefault="003B197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5C" w14:textId="77777777" w:rsidR="002C014C" w:rsidRDefault="00000000">
    <w:pPr>
      <w:jc w:val="right"/>
      <w:rPr>
        <w:rFonts w:ascii="Space Grotesk" w:eastAsia="Space Grotesk" w:hAnsi="Space Grotesk" w:cs="Space Grotesk"/>
      </w:rPr>
    </w:pPr>
    <w:r>
      <w:rPr>
        <w:rFonts w:ascii="Space Grotesk" w:eastAsia="Space Grotesk" w:hAnsi="Space Grotesk" w:cs="Space Grotesk"/>
        <w:color w:val="808080"/>
        <w:sz w:val="18"/>
        <w:szCs w:val="18"/>
      </w:rPr>
      <w:t>Nuclear on Tribal Lands — Incentives Summary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87F38" w14:textId="77777777" w:rsidR="003B197B" w:rsidRDefault="003B197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657B36"/>
    <w:multiLevelType w:val="multilevel"/>
    <w:tmpl w:val="43243134"/>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248E17ED"/>
    <w:multiLevelType w:val="multilevel"/>
    <w:tmpl w:val="F0B2748A"/>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4EDB7A13"/>
    <w:multiLevelType w:val="multilevel"/>
    <w:tmpl w:val="EDE29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A1A5FAF"/>
    <w:multiLevelType w:val="multilevel"/>
    <w:tmpl w:val="F5EE51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602E060B"/>
    <w:multiLevelType w:val="multilevel"/>
    <w:tmpl w:val="0C44F81E"/>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683B6821"/>
    <w:multiLevelType w:val="multilevel"/>
    <w:tmpl w:val="16AAF40A"/>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811408122">
    <w:abstractNumId w:val="1"/>
  </w:num>
  <w:num w:numId="2" w16cid:durableId="2022000335">
    <w:abstractNumId w:val="4"/>
  </w:num>
  <w:num w:numId="3" w16cid:durableId="815952195">
    <w:abstractNumId w:val="5"/>
  </w:num>
  <w:num w:numId="4" w16cid:durableId="1438713208">
    <w:abstractNumId w:val="0"/>
  </w:num>
  <w:num w:numId="5" w16cid:durableId="1813862707">
    <w:abstractNumId w:val="3"/>
  </w:num>
  <w:num w:numId="6" w16cid:durableId="20911495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014C"/>
    <w:rsid w:val="002C014C"/>
    <w:rsid w:val="003B197B"/>
    <w:rsid w:val="00B506E9"/>
    <w:rsid w:val="00F927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DE819B5-53A3-461B-BEB6-7739F7DBC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3B197B"/>
    <w:pPr>
      <w:tabs>
        <w:tab w:val="center" w:pos="4252"/>
        <w:tab w:val="right" w:pos="8504"/>
      </w:tabs>
    </w:pPr>
  </w:style>
  <w:style w:type="character" w:customStyle="1" w:styleId="HeaderChar">
    <w:name w:val="Header Char"/>
    <w:basedOn w:val="DefaultParagraphFont"/>
    <w:link w:val="Header"/>
    <w:uiPriority w:val="99"/>
    <w:rsid w:val="003B197B"/>
  </w:style>
  <w:style w:type="paragraph" w:styleId="Footer">
    <w:name w:val="footer"/>
    <w:basedOn w:val="Normal"/>
    <w:link w:val="FooterChar"/>
    <w:uiPriority w:val="99"/>
    <w:unhideWhenUsed/>
    <w:rsid w:val="003B197B"/>
    <w:pPr>
      <w:tabs>
        <w:tab w:val="center" w:pos="4252"/>
        <w:tab w:val="right" w:pos="8504"/>
      </w:tabs>
    </w:pPr>
  </w:style>
  <w:style w:type="character" w:customStyle="1" w:styleId="FooterChar">
    <w:name w:val="Footer Char"/>
    <w:basedOn w:val="DefaultParagraphFont"/>
    <w:link w:val="Footer"/>
    <w:uiPriority w:val="99"/>
    <w:rsid w:val="003B19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federalregister.gov/documents/2025/01/13/2025-00331/guidance-on-clean-electricity-low-income-communities-bonus-credit-amount-program" TargetMode="External"/><Relationship Id="rId21" Type="http://schemas.openxmlformats.org/officeDocument/2006/relationships/hyperlink" Target="https://home.treasury.gov/news/press-releases/jy2775" TargetMode="External"/><Relationship Id="rId42" Type="http://schemas.openxmlformats.org/officeDocument/2006/relationships/hyperlink" Target="https://www.epa.gov/brownfields/federal-programs" TargetMode="External"/><Relationship Id="rId47" Type="http://schemas.openxmlformats.org/officeDocument/2006/relationships/hyperlink" Target="https://www.nrc.gov/about-nrc/state-tribal-programs/agreement-state-program/pursuing-an-agreement-with-the-nrc-faqs" TargetMode="External"/><Relationship Id="rId63" Type="http://schemas.openxmlformats.org/officeDocument/2006/relationships/hyperlink" Target="https://www.morganlewis.com/pubs/2025/07/the-impact-of-the-one-big-beautiful-bill-act-on-nuclear-tax-incentives" TargetMode="External"/><Relationship Id="rId68" Type="http://schemas.openxmlformats.org/officeDocument/2006/relationships/hyperlink" Target="https://www.lw.com/en/insights/one-big-beautiful-bill-new-law-disrupts-clean-energy-investment" TargetMode="External"/><Relationship Id="rId84" Type="http://schemas.openxmlformats.org/officeDocument/2006/relationships/footer" Target="footer1.xml"/><Relationship Id="rId89" Type="http://schemas.openxmlformats.org/officeDocument/2006/relationships/theme" Target="theme/theme1.xml"/><Relationship Id="rId16" Type="http://schemas.openxmlformats.org/officeDocument/2006/relationships/hyperlink" Target="https://edx.netl.doe.gov/dataset/ira-energy-community-data-layers" TargetMode="External"/><Relationship Id="rId11" Type="http://schemas.openxmlformats.org/officeDocument/2006/relationships/hyperlink" Target="https://drive.google.com/drive/folders/17WpMRXLfWLOz5IO8vZ1xuNjMB515gH_A?usp=drive_link" TargetMode="External"/><Relationship Id="rId32" Type="http://schemas.openxmlformats.org/officeDocument/2006/relationships/hyperlink" Target="https://tribalbusinessnews.com/sections/energy/15548-doe-announces-50m-tribal-energy-funding-opportunity-at-res" TargetMode="External"/><Relationship Id="rId37" Type="http://schemas.openxmlformats.org/officeDocument/2006/relationships/hyperlink" Target="https://www.cruxclimate.com/insights/transferable-tax-credits" TargetMode="External"/><Relationship Id="rId53" Type="http://schemas.openxmlformats.org/officeDocument/2006/relationships/hyperlink" Target="https://www.narf.org/nill//bulletins/federal/documents/devia.pdf" TargetMode="External"/><Relationship Id="rId58" Type="http://schemas.openxmlformats.org/officeDocument/2006/relationships/hyperlink" Target="https://edx.netl.doe.gov/dataset/ira-energy-community-data-layers" TargetMode="External"/><Relationship Id="rId74" Type="http://schemas.openxmlformats.org/officeDocument/2006/relationships/hyperlink" Target="https://nuclearinnovationalliance.org/sites/default/files/2023-12/Final%20Report%20V1%20-%20Implications%20of%20Inflation%20Reduction%20Act%20Tax%20Credits%20-%20December%202023.pdf" TargetMode="External"/><Relationship Id="rId79" Type="http://schemas.openxmlformats.org/officeDocument/2006/relationships/hyperlink" Target="https://multinationalmonitor.org/hyper/mm0995.07.html" TargetMode="External"/><Relationship Id="rId5"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hyperlink" Target="https://www.irs.gov/credits-deductions/clean-electricity-low-income-communities-bonus-credit-amount-program" TargetMode="External"/><Relationship Id="rId27" Type="http://schemas.openxmlformats.org/officeDocument/2006/relationships/hyperlink" Target="https://home.treasury.gov/system/files/136/48E-Tribal-Consultation-Summary-Federal-Response-1-8-25.pdf" TargetMode="External"/><Relationship Id="rId30" Type="http://schemas.openxmlformats.org/officeDocument/2006/relationships/hyperlink" Target="https://www.energy.gov/indianenergy/funding" TargetMode="External"/><Relationship Id="rId35" Type="http://schemas.openxmlformats.org/officeDocument/2006/relationships/hyperlink" Target="https://arcgis.netl.doe.gov/portal/apps/experiencebuilder/experience/?id=785ee47a99d24b36b405acd03d97a5f9" TargetMode="External"/><Relationship Id="rId43" Type="http://schemas.openxmlformats.org/officeDocument/2006/relationships/hyperlink" Target="https://www.congress.gov/crs-product/R48358" TargetMode="External"/><Relationship Id="rId48" Type="http://schemas.openxmlformats.org/officeDocument/2006/relationships/hyperlink" Target="https://www.nrc.gov/about-nrc/state-tribal/tribal-liaison-team/tribal-liaison-map" TargetMode="External"/><Relationship Id="rId56" Type="http://schemas.openxmlformats.org/officeDocument/2006/relationships/hyperlink" Target="https://www.bia.gov/bia/ots/dris/bogs" TargetMode="External"/><Relationship Id="rId64" Type="http://schemas.openxmlformats.org/officeDocument/2006/relationships/hyperlink" Target="https://www.morganlewis.com/pubs/2022/08/inflation-reduction-act-of-2022-boosts-nuclear-power-with-tax-credits-and-funding" TargetMode="External"/><Relationship Id="rId69" Type="http://schemas.openxmlformats.org/officeDocument/2006/relationships/hyperlink" Target="https://www.jdsupra.com/legalnews/a-summary-of-inflation-reduction-act-4743409/" TargetMode="External"/><Relationship Id="rId77" Type="http://schemas.openxmlformats.org/officeDocument/2006/relationships/hyperlink" Target="https://www.irs.gov/pub/irs-drop/n-23-38.pdf" TargetMode="External"/><Relationship Id="rId8" Type="http://schemas.openxmlformats.org/officeDocument/2006/relationships/hyperlink" Target="https://onemap-bia-geospatial.hub.arcgis.com/maps/0b68963dd35545dd855de994bcc335c4/explore" TargetMode="External"/><Relationship Id="rId51" Type="http://schemas.openxmlformats.org/officeDocument/2006/relationships/hyperlink" Target="https://law.justia.com/cases/federal/appellate-courts/F3/376/1223/597592/" TargetMode="External"/><Relationship Id="rId72" Type="http://schemas.openxmlformats.org/officeDocument/2006/relationships/hyperlink" Target="https://nccleantech.ncsu.edu/2025/01/28/2024-in-review-navigating-the-advanced-nuclear-landscape/" TargetMode="External"/><Relationship Id="rId80" Type="http://schemas.openxmlformats.org/officeDocument/2006/relationships/hyperlink" Target="https://nuclearinnovationalliance.org/sites/default/files/2021-12/NIA%20Promoting%20Efficient%20NRC%20Advanced%20Reactor%20Licensing%20Reviews%20to%20Enable%20Rapid%20Decarbonization.pdf" TargetMode="External"/><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mapshaper.org" TargetMode="External"/><Relationship Id="rId17" Type="http://schemas.openxmlformats.org/officeDocument/2006/relationships/hyperlink" Target="https://zenodo.org/records/14757122" TargetMode="External"/><Relationship Id="rId25" Type="http://schemas.openxmlformats.org/officeDocument/2006/relationships/hyperlink" Target="https://www.irs.gov/pub/irs-drop/rp-25-11.pdf" TargetMode="External"/><Relationship Id="rId33" Type="http://schemas.openxmlformats.org/officeDocument/2006/relationships/hyperlink" Target="https://www.energy.gov/EDF" TargetMode="External"/><Relationship Id="rId38" Type="http://schemas.openxmlformats.org/officeDocument/2006/relationships/hyperlink" Target="https://www.morganlewis.com/pubs/2023/05/irs-releases-highly-anticipated-guidance-on-domestic-content-ira-tax-credit-adder" TargetMode="External"/><Relationship Id="rId46" Type="http://schemas.openxmlformats.org/officeDocument/2006/relationships/hyperlink" Target="https://www.nrc.gov/about-nrc/state-tribal/tps" TargetMode="External"/><Relationship Id="rId59" Type="http://schemas.openxmlformats.org/officeDocument/2006/relationships/hyperlink" Target="https://arcgis.netl.doe.gov/portal/apps/experiencebuilder/experience/?id=a2ce47d4721a477a8701bd0e08495e1d" TargetMode="External"/><Relationship Id="rId67" Type="http://schemas.openxmlformats.org/officeDocument/2006/relationships/hyperlink" Target="https://www.kirkland.com/publications/kirkland-alert/2025/08/one-big-beautiful-bill-act-brings-big-changes-to-green-energy-tax-credits" TargetMode="External"/><Relationship Id="rId20" Type="http://schemas.openxmlformats.org/officeDocument/2006/relationships/hyperlink" Target="https://home.treasury.gov/news/press-releases/jy1830" TargetMode="External"/><Relationship Id="rId41" Type="http://schemas.openxmlformats.org/officeDocument/2006/relationships/hyperlink" Target="https://www.energy.gov/sites/default/files/2023-01/2-us-treasury-ie-ira-jan-2023.pdf" TargetMode="External"/><Relationship Id="rId54" Type="http://schemas.openxmlformats.org/officeDocument/2006/relationships/hyperlink" Target="https://haulno.com/wp-content/uploads/2023/12/Dine-Natural-Resources-Protection-Act-of-2005.pdf" TargetMode="External"/><Relationship Id="rId62" Type="http://schemas.openxmlformats.org/officeDocument/2006/relationships/hyperlink" Target="https://climatecabineteducation.org/tax-credit-bonuses-map/" TargetMode="External"/><Relationship Id="rId70" Type="http://schemas.openxmlformats.org/officeDocument/2006/relationships/hyperlink" Target="https://www.mossadams.com/articles/2022/08/inflation-reduction-act-clean-energy-credits" TargetMode="External"/><Relationship Id="rId75" Type="http://schemas.openxmlformats.org/officeDocument/2006/relationships/hyperlink" Target="https://ljsj.wordpress.com/2024/02/02/tribes-may-take-advantage-of-section-48-tax-credits-under-the-inflation-reduction-act-to-develop-clean-energy-projects/" TargetMode="External"/><Relationship Id="rId83" Type="http://schemas.openxmlformats.org/officeDocument/2006/relationships/header" Target="header2.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rcgis.netl.doe.gov/portal/apps/experiencebuilder/experience/?id=a2ce47d4721a477a8701bd0e08495e1d" TargetMode="External"/><Relationship Id="rId23" Type="http://schemas.openxmlformats.org/officeDocument/2006/relationships/hyperlink" Target="https://www.irs.gov/credits-deductions/frequently-asked-questions-for-energy-communities" TargetMode="External"/><Relationship Id="rId28" Type="http://schemas.openxmlformats.org/officeDocument/2006/relationships/hyperlink" Target="https://www.energy.gov/ne/articles/inflation-reduction-act-keeps-momentum-building-nuclear-power" TargetMode="External"/><Relationship Id="rId36" Type="http://schemas.openxmlformats.org/officeDocument/2006/relationships/hyperlink" Target="https://www.wilsoncenter.org/article/nuclear-power-tribal-power" TargetMode="External"/><Relationship Id="rId49" Type="http://schemas.openxmlformats.org/officeDocument/2006/relationships/hyperlink" Target="https://www.nrc.gov/docs/ML2322/ML23228A191.pdf" TargetMode="External"/><Relationship Id="rId57" Type="http://schemas.openxmlformats.org/officeDocument/2006/relationships/hyperlink" Target="https://www.census.gov/geographies/mapping-files/time-series/geo/tiger-line-file.html" TargetMode="External"/><Relationship Id="rId10" Type="http://schemas.openxmlformats.org/officeDocument/2006/relationships/hyperlink" Target="https://www.census.gov/geographies/mapping-files/time-series/geo/tiger-line-file.html" TargetMode="External"/><Relationship Id="rId31" Type="http://schemas.openxmlformats.org/officeDocument/2006/relationships/hyperlink" Target="https://www.energy.gov/articles/energy-department-announces-50-million-investment-advance-affordable-reliable-and-secure" TargetMode="External"/><Relationship Id="rId44" Type="http://schemas.openxmlformats.org/officeDocument/2006/relationships/hyperlink" Target="https://www.congress.gov/crs-product/IF11793" TargetMode="External"/><Relationship Id="rId52" Type="http://schemas.openxmlformats.org/officeDocument/2006/relationships/hyperlink" Target="https://caselaw.findlaw.com/court/us-dc-circuit/1187398.html" TargetMode="External"/><Relationship Id="rId60" Type="http://schemas.openxmlformats.org/officeDocument/2006/relationships/hyperlink" Target="https://www.epa.gov/cleanups/cleanups-my-community-web-map-service-and-more" TargetMode="External"/><Relationship Id="rId65" Type="http://schemas.openxmlformats.org/officeDocument/2006/relationships/hyperlink" Target="https://www.sidley.com/en/insights/newsupdates/2025/07/the-one-big-beautiful-bill-act-navigating-the-new-energy-landscape" TargetMode="External"/><Relationship Id="rId73" Type="http://schemas.openxmlformats.org/officeDocument/2006/relationships/hyperlink" Target="https://nuclearinnovationalliance.org/sites/default/files/2025-03/Importance%20of%20Tax%20Credits%20-%20Final.pdf" TargetMode="External"/><Relationship Id="rId78" Type="http://schemas.openxmlformats.org/officeDocument/2006/relationships/hyperlink" Target="https://www.irs.gov/credits-deductions/register-for-elective-payment-or-transfer-of-credits" TargetMode="External"/><Relationship Id="rId81" Type="http://schemas.openxmlformats.org/officeDocument/2006/relationships/hyperlink" Target="https://www.energy.gov/lpo/articles/pricing-lpo-financing-program" TargetMode="External"/><Relationship Id="rId86"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experience.arcgis.com/experience/49fe6d3b860d47c588db75074fa42309/page/Page" TargetMode="External"/><Relationship Id="rId13" Type="http://schemas.openxmlformats.org/officeDocument/2006/relationships/image" Target="media/image1.png"/><Relationship Id="rId18" Type="http://schemas.openxmlformats.org/officeDocument/2006/relationships/hyperlink" Target="https://drive.google.com/drive/folders/1zV2vwiyYw0OK9sws6U7seSWojC04T6o3?usp=drive_link" TargetMode="External"/><Relationship Id="rId39" Type="http://schemas.openxmlformats.org/officeDocument/2006/relationships/hyperlink" Target="https://www.plantemoran.com/explore-our-thinking/insight/2025/01/prevailing-wage-requirements-for-bonus-ira-energy-tax-credits" TargetMode="External"/><Relationship Id="rId34" Type="http://schemas.openxmlformats.org/officeDocument/2006/relationships/hyperlink" Target="https://www.energy.gov/edf/tribal-energy-financing-program-frequently-asked-questions" TargetMode="External"/><Relationship Id="rId50" Type="http://schemas.openxmlformats.org/officeDocument/2006/relationships/hyperlink" Target="https://www.law.cornell.edu/uscode/text/42/chapter-23" TargetMode="External"/><Relationship Id="rId55" Type="http://schemas.openxmlformats.org/officeDocument/2006/relationships/hyperlink" Target="https://opvp.navajo-nsn.gov" TargetMode="External"/><Relationship Id="rId76" Type="http://schemas.openxmlformats.org/officeDocument/2006/relationships/hyperlink" Target="https://www.irs.gov/pub/irs-drop/n-23-29.pdf" TargetMode="External"/><Relationship Id="rId7" Type="http://schemas.openxmlformats.org/officeDocument/2006/relationships/endnotes" Target="endnotes.xml"/><Relationship Id="rId71" Type="http://schemas.openxmlformats.org/officeDocument/2006/relationships/hyperlink" Target="https://www.nixonpeabody.com/insights/alerts/2023/04/27/eligibility-requirements-for-energy-community-bonus-tax-credits" TargetMode="External"/><Relationship Id="rId2" Type="http://schemas.openxmlformats.org/officeDocument/2006/relationships/numbering" Target="numbering.xml"/><Relationship Id="rId29" Type="http://schemas.openxmlformats.org/officeDocument/2006/relationships/hyperlink" Target="https://www.energy.gov/indianenergy/articles/us-department-energy-announce-funding-opportunity-energy-technology-0" TargetMode="External"/><Relationship Id="rId24" Type="http://schemas.openxmlformats.org/officeDocument/2006/relationships/hyperlink" Target="https://www.irs.gov/credits-and-deductions-under-the-inflation-reduction-act-of-2022" TargetMode="External"/><Relationship Id="rId40" Type="http://schemas.openxmlformats.org/officeDocument/2006/relationships/hyperlink" Target="https://ie-exchange.energy.gov/" TargetMode="External"/><Relationship Id="rId45" Type="http://schemas.openxmlformats.org/officeDocument/2006/relationships/hyperlink" Target="https://files.gao.gov/reports/GAO-25-108720/index.html" TargetMode="External"/><Relationship Id="rId66" Type="http://schemas.openxmlformats.org/officeDocument/2006/relationships/hyperlink" Target="https://www.bakerbotts.com/thought-leadership/publications/2025/july/one-big-beautiful-bill-act-substantially-alters-clean-energy-tax-landscape" TargetMode="External"/><Relationship Id="rId87" Type="http://schemas.openxmlformats.org/officeDocument/2006/relationships/footer" Target="footer3.xml"/><Relationship Id="rId61" Type="http://schemas.openxmlformats.org/officeDocument/2006/relationships/hyperlink" Target="https://www.epa.gov/navajo-nation-uranium-cleanup" TargetMode="External"/><Relationship Id="rId82" Type="http://schemas.openxmlformats.org/officeDocument/2006/relationships/header" Target="header1.xml"/><Relationship Id="rId19" Type="http://schemas.openxmlformats.org/officeDocument/2006/relationships/hyperlink" Target="https://www.epa.gov/cleanups/cimc-web-map-service-and-more"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x915j3PIQ9tS/AK0shfNXOBPA==">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8719</Words>
  <Characters>47960</Characters>
  <Application>Microsoft Office Word</Application>
  <DocSecurity>0</DocSecurity>
  <Lines>399</Lines>
  <Paragraphs>113</Paragraphs>
  <ScaleCrop>false</ScaleCrop>
  <Company/>
  <LinksUpToDate>false</LinksUpToDate>
  <CharactersWithSpaces>56566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Josefina Curti</cp:lastModifiedBy>
  <cp:revision>2</cp:revision>
  <dcterms:created xsi:type="dcterms:W3CDTF">2026-06-08T18:42:00Z</dcterms:created>
  <dcterms:modified xsi:type="dcterms:W3CDTF">2026-06-08T18:42:00Z</dcterms:modified>
</cp:coreProperties>
</file>