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6213E" w:val="clear"/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13E" w:val="clear"/>
            <w:tcMar>
              <w:top w:type="dxa" w:w="240"/>
              <w:left w:type="dxa" w:w="280"/>
              <w:bottom w:type="dxa" w:w="200"/>
              <w:right w:type="dxa" w:w="28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120"/>
                <w:sz w:val="56"/>
                <w:szCs w:val="56"/>
              </w:rPr>
              <w:t xml:space="preserve">JOSEFRIDAH M. MUTUA</w:t>
            </w:r>
          </w:p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color w:val="B0BEC5"/>
                <w:spacing w:val="60"/>
                <w:sz w:val="22"/>
                <w:szCs w:val="22"/>
              </w:rPr>
              <w:t xml:space="preserve">Technical Project Manager  ·  Business Analyst  ·  Agile Delivery Lead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90CAF9"/>
                <w:sz w:val="19"/>
                <w:szCs w:val="19"/>
              </w:rPr>
              <w:t xml:space="preserve">+254 724 968 547</w:t>
            </w:r>
            <w:r>
              <w:rPr>
                <w:rFonts w:ascii="Arial" w:cs="Arial" w:eastAsia="Arial" w:hAnsi="Arial"/>
                <w:color w:val="546E7A"/>
                <w:sz w:val="19"/>
                <w:szCs w:val="19"/>
              </w:rPr>
              <w:t xml:space="preserve">   |   </w:t>
            </w:r>
            <w:r>
              <w:rPr>
                <w:rFonts w:ascii="Arial" w:cs="Arial" w:eastAsia="Arial" w:hAnsi="Arial"/>
                <w:color w:val="90CAF9"/>
                <w:sz w:val="19"/>
                <w:szCs w:val="19"/>
              </w:rPr>
              <w:t xml:space="preserve">josefridahmwende71@gmail.com</w:t>
            </w:r>
            <w:r>
              <w:rPr>
                <w:rFonts w:ascii="Arial" w:cs="Arial" w:eastAsia="Arial" w:hAnsi="Arial"/>
                <w:color w:val="546E7A"/>
                <w:sz w:val="19"/>
                <w:szCs w:val="19"/>
              </w:rPr>
              <w:t xml:space="preserve">   |   </w:t>
            </w:r>
            <w:r>
              <w:rPr>
                <w:rFonts w:ascii="Arial" w:cs="Arial" w:eastAsia="Arial" w:hAnsi="Arial"/>
                <w:color w:val="90CAF9"/>
                <w:sz w:val="19"/>
                <w:szCs w:val="19"/>
              </w:rPr>
              <w:t xml:space="preserve">Nairobi, Kenya</w:t>
            </w:r>
            <w:r>
              <w:rPr>
                <w:rFonts w:ascii="Arial" w:cs="Arial" w:eastAsia="Arial" w:hAnsi="Arial"/>
                <w:color w:val="546E7A"/>
                <w:sz w:val="19"/>
                <w:szCs w:val="19"/>
              </w:rPr>
              <w:t xml:space="preserve">   |   </w:t>
            </w:r>
            <w:r>
              <w:rPr>
                <w:rFonts w:ascii="Arial" w:cs="Arial" w:eastAsia="Arial" w:hAnsi="Arial"/>
                <w:color w:val="A5D6A7"/>
                <w:sz w:val="19"/>
                <w:szCs w:val="19"/>
              </w:rPr>
              <w:t xml:space="preserve">Open to Remote</w:t>
            </w:r>
          </w:p>
        </w:tc>
      </w:tr>
    </w:tbl>
    <w:p>
      <w:pPr>
        <w:spacing w:before="0" w:after="160"/>
      </w:pPr>
    </w:p>
    <w:p>
      <w:pPr>
        <w:spacing w:before="240" w:after="40"/>
      </w:pPr>
      <w:r>
        <w:rPr>
          <w:rFonts w:ascii="Arial" w:cs="Arial" w:eastAsia="Arial" w:hAnsi="Arial"/>
          <w:b/>
          <w:bCs/>
          <w:color w:val="16213E"/>
          <w:spacing w:val="80"/>
          <w:sz w:val="24"/>
          <w:szCs w:val="24"/>
        </w:rPr>
        <w:t xml:space="preserve">PROFESSIONAL PROFILE</w:t>
      </w:r>
    </w:p>
    <w:p>
      <w:pPr>
        <w:pBdr>
          <w:bottom w:val="single" w:color="E94560" w:sz="12" w:space="1"/>
        </w:pBdr>
        <w:spacing w:before="0" w:after="80"/>
      </w:pPr>
    </w:p>
    <w:p>
      <w:pPr>
        <w:spacing w:before="100" w:after="60"/>
        <w:jc w:val="both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Results-driven Technical Project Manager and Business Analyst with a BSc in Computer Science and 5+ years delivering high-impact fintech and insurance platforms in regulated, fast-paced environments. Uniquely bridging the gap between technical execution and business outcomes — from authoring System Requirement Specifications and facilitating requirements workshops to directing cross-functional engineering squads and managing CAPEX budgets under CMA governance.</w:t>
      </w:r>
    </w:p>
    <w:p>
      <w:pPr>
        <w:spacing w:before="60" w:after="60"/>
        <w:jc w:val="both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Proven track record includes scaling a fintech platform to 10,000+ users with zero security breaches, reducing insurance underwriting turnaround by 80% through C#-powered automation, and managing API integrations for major asset managers. Currently expanding into AWS Cloud Engineering and DevSecOps, targeting cloud-native delivery and cloud migration PM roles.</w:t>
      </w:r>
    </w:p>
    <w:p>
      <w:pPr>
        <w:spacing w:before="0" w:after="60"/>
      </w:pPr>
    </w:p>
    <w:p>
      <w:pPr>
        <w:spacing w:before="240" w:after="40"/>
      </w:pPr>
      <w:r>
        <w:rPr>
          <w:rFonts w:ascii="Arial" w:cs="Arial" w:eastAsia="Arial" w:hAnsi="Arial"/>
          <w:b/>
          <w:bCs/>
          <w:color w:val="16213E"/>
          <w:spacing w:val="80"/>
          <w:sz w:val="24"/>
          <w:szCs w:val="24"/>
        </w:rPr>
        <w:t xml:space="preserve">CORE COMPETENCIES</w:t>
      </w:r>
    </w:p>
    <w:p>
      <w:pPr>
        <w:pBdr>
          <w:bottom w:val="single" w:color="E94560" w:sz="12" w:space="1"/>
        </w:pBdr>
        <w:spacing w:before="0" w:after="80"/>
      </w:pPr>
    </w:p>
    <w:p>
      <w:pPr>
        <w:spacing w:before="0" w:after="40"/>
      </w:pP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576"/>
        <w:gridCol w:w="7330"/>
      </w:tblGrid>
      <w:tr>
        <w:tc>
          <w:tcPr>
            <w:tcW w:type="dxa" w:w="25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19"/>
                <w:szCs w:val="19"/>
              </w:rPr>
              <w:t xml:space="preserve">Project Delivery</w:t>
            </w:r>
          </w:p>
        </w:tc>
        <w:tc>
          <w:tcPr>
            <w:tcW w:type="dxa" w:w="73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Agile (Scrum, Kanban) · Waterfall · Stage-Gate · SAFe · SDLC · PMO Governance</w:t>
            </w:r>
          </w:p>
        </w:tc>
      </w:tr>
    </w:tbl>
    <w:p>
      <w:pPr>
        <w:spacing w:before="0" w:after="20"/>
      </w:pP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576"/>
        <w:gridCol w:w="7330"/>
      </w:tblGrid>
      <w:tr>
        <w:tc>
          <w:tcPr>
            <w:tcW w:type="dxa" w:w="25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19"/>
                <w:szCs w:val="19"/>
              </w:rPr>
              <w:t xml:space="preserve">Business Analysis</w:t>
            </w:r>
          </w:p>
        </w:tc>
        <w:tc>
          <w:tcPr>
            <w:tcW w:type="dxa" w:w="73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Requirements Elicitation · SRS · BRD · User Stories · Process Mapping · GAP Analysis · UAT</w:t>
            </w:r>
          </w:p>
        </w:tc>
      </w:tr>
    </w:tbl>
    <w:p>
      <w:pPr>
        <w:spacing w:before="0" w:after="20"/>
      </w:pP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576"/>
        <w:gridCol w:w="7330"/>
      </w:tblGrid>
      <w:tr>
        <w:tc>
          <w:tcPr>
            <w:tcW w:type="dxa" w:w="25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19"/>
                <w:szCs w:val="19"/>
              </w:rPr>
              <w:t xml:space="preserve">Stakeholder Management</w:t>
            </w:r>
          </w:p>
        </w:tc>
        <w:tc>
          <w:tcPr>
            <w:tcW w:type="dxa" w:w="73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C-suite Reporting · RAG Status · Governance Presentations · Cross-functional Facilitation</w:t>
            </w:r>
          </w:p>
        </w:tc>
      </w:tr>
    </w:tbl>
    <w:p>
      <w:pPr>
        <w:spacing w:before="0" w:after="20"/>
      </w:pP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576"/>
        <w:gridCol w:w="7330"/>
      </w:tblGrid>
      <w:tr>
        <w:tc>
          <w:tcPr>
            <w:tcW w:type="dxa" w:w="25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19"/>
                <w:szCs w:val="19"/>
              </w:rPr>
              <w:t xml:space="preserve">Financial &amp; Risk</w:t>
            </w:r>
          </w:p>
        </w:tc>
        <w:tc>
          <w:tcPr>
            <w:tcW w:type="dxa" w:w="73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CAPEX Management · Budgeting · Triple Constraint · Risk Mitigation &amp; Escalation</w:t>
            </w:r>
          </w:p>
        </w:tc>
      </w:tr>
    </w:tbl>
    <w:p>
      <w:pPr>
        <w:spacing w:before="0" w:after="20"/>
      </w:pP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576"/>
        <w:gridCol w:w="7330"/>
      </w:tblGrid>
      <w:tr>
        <w:tc>
          <w:tcPr>
            <w:tcW w:type="dxa" w:w="25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19"/>
                <w:szCs w:val="19"/>
              </w:rPr>
              <w:t xml:space="preserve">Technical</w:t>
            </w:r>
          </w:p>
        </w:tc>
        <w:tc>
          <w:tcPr>
            <w:tcW w:type="dxa" w:w="73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REST &amp; SOAP APIs · SQL · PostgreSQL · .NET (C#) · Postman · Selenium · Power BI</w:t>
            </w:r>
          </w:p>
        </w:tc>
      </w:tr>
    </w:tbl>
    <w:p>
      <w:pPr>
        <w:spacing w:before="0" w:after="20"/>
      </w:pP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576"/>
        <w:gridCol w:w="7330"/>
      </w:tblGrid>
      <w:tr>
        <w:tc>
          <w:tcPr>
            <w:tcW w:type="dxa" w:w="25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19"/>
                <w:szCs w:val="19"/>
              </w:rPr>
              <w:t xml:space="preserve">Tools &amp; Platforms</w:t>
            </w:r>
          </w:p>
        </w:tc>
        <w:tc>
          <w:tcPr>
            <w:tcW w:type="dxa" w:w="73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Jira (Advanced) · MS Project · Trello · Linear · Metabase · Crystal Reports · Slack</w:t>
            </w:r>
          </w:p>
        </w:tc>
      </w:tr>
    </w:tbl>
    <w:p>
      <w:pPr>
        <w:spacing w:before="0" w:after="80"/>
      </w:pPr>
    </w:p>
    <w:p>
      <w:pPr>
        <w:spacing w:before="240" w:after="40"/>
      </w:pPr>
      <w:r>
        <w:rPr>
          <w:rFonts w:ascii="Arial" w:cs="Arial" w:eastAsia="Arial" w:hAnsi="Arial"/>
          <w:b/>
          <w:bCs/>
          <w:color w:val="16213E"/>
          <w:spacing w:val="80"/>
          <w:sz w:val="24"/>
          <w:szCs w:val="24"/>
        </w:rPr>
        <w:t xml:space="preserve">PROFESSIONAL EXPERIENCE</w:t>
      </w:r>
    </w:p>
    <w:p>
      <w:pPr>
        <w:pBdr>
          <w:bottom w:val="single" w:color="E94560" w:sz="12" w:space="1"/>
        </w:pBdr>
        <w:spacing w:before="0" w:after="80"/>
      </w:pP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934"/>
        <w:gridCol w:w="2972"/>
      </w:tblGrid>
      <w:tr>
        <w:tc>
          <w:tcPr>
            <w:tcW w:type="dxa" w:w="69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160" w:after="20"/>
            </w:pPr>
            <w:r>
              <w:rPr>
                <w:rFonts w:ascii="Arial" w:cs="Arial" w:eastAsia="Arial" w:hAnsi="Arial"/>
                <w:b/>
                <w:bCs/>
                <w:color w:val="16213E"/>
                <w:sz w:val="22"/>
                <w:szCs w:val="22"/>
              </w:rPr>
              <w:t xml:space="preserve">Givva Wealthtech Limited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E94560"/>
                <w:sz w:val="21"/>
                <w:szCs w:val="21"/>
              </w:rPr>
              <w:t xml:space="preserve">Technical Project Manager</w:t>
            </w:r>
          </w:p>
        </w:tc>
        <w:tc>
          <w:tcPr>
            <w:tcW w:type="dxa" w:w="29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160" w:after="20"/>
              <w:jc w:val="right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2022 – Present</w:t>
            </w:r>
          </w:p>
        </w:tc>
      </w:tr>
    </w:tbl>
    <w:p>
      <w:pPr>
        <w:spacing w:before="40" w:after="60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Directed end-to-end delivery of a CMA-regulated wealth-tech platform, owning the full project lifecycle from PID through go-live, while acting as the bridge between business stakeholders and an 8-person engineering squad.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Drove requirements elicitation sessions with Business Analysts and product owners, translating complex financial service workflows into detailed acceptance criteria, user stories, and SRS documentation adopted across all delivery workstreams.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Managed complex API integrations with 2 major asset managers, owning end-to-end integration testing (Postman) and coordinating resolution of technical blockers — reducing integration cycle time by 30%.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Implemented rigorous QA governance across UAT, Sanity, and Regression testing phases, achieving zero critical defects at go-live and maintaining 100% CMA compliance throughout.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Oversaw full CAPEX budget management and resource allocation, presenting RAG status reports and governance dashboards to C-suite — consistently delivering within scope and budget.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Scaled the platform to 10,000+ active users within 12 months post-launch with zero critical security incidents.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Proactively identified, logged, and escalated project risks via structured risk registers, reducing unplanned scope changes by 40%.</w:t>
      </w:r>
    </w:p>
    <w:p>
      <w:pPr>
        <w:spacing w:before="0" w:after="60"/>
      </w:pP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934"/>
        <w:gridCol w:w="2972"/>
      </w:tblGrid>
      <w:tr>
        <w:tc>
          <w:tcPr>
            <w:tcW w:type="dxa" w:w="69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160" w:after="20"/>
            </w:pPr>
            <w:r>
              <w:rPr>
                <w:rFonts w:ascii="Arial" w:cs="Arial" w:eastAsia="Arial" w:hAnsi="Arial"/>
                <w:b/>
                <w:bCs/>
                <w:color w:val="16213E"/>
                <w:sz w:val="22"/>
                <w:szCs w:val="22"/>
              </w:rPr>
              <w:t xml:space="preserve">Kenyan Alliance Insurance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E94560"/>
                <w:sz w:val="21"/>
                <w:szCs w:val="21"/>
              </w:rPr>
              <w:t xml:space="preserve">Software Engineer → Business Analyst</w:t>
            </w:r>
          </w:p>
        </w:tc>
        <w:tc>
          <w:tcPr>
            <w:tcW w:type="dxa" w:w="29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160" w:after="20"/>
              <w:jc w:val="right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2021 – 2022</w:t>
            </w:r>
          </w:p>
        </w:tc>
      </w:tr>
    </w:tbl>
    <w:p>
      <w:pPr>
        <w:spacing w:before="40" w:after="60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Promoted from technical delivery into a hybrid BA/engineering role, leading the digital transformation of the core insurance administration system (PURE) and owning the requirements pipeline for migration to a new EDMS.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Partnered directly with Business Analysts to conduct as-is/to-be process mapping for complex underwriting and claims workflows, producing SRS documents that served as the single source of truth for the development team.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Architected and deployed a C# automated sanity-testing workflow engine, reducing the underwriting backlog from 10 days to 2 days — an 80% improvement in operational turnaround time.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Led Regression and Integration testing on SQL/PostgreSQL data layers during EDMS migration, ensuring zero data integrity failures across 100% of test cases.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Facilitated stakeholder workshops to validate requirements, surface edge cases, and gain sign-off — compressing the requirements approval cycle by 25%.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Built and maintained the internal technical knowledge base (automated procedures, .NET/SQL architecture docs), reducing onboarding time for new engineers.</w:t>
      </w:r>
    </w:p>
    <w:p>
      <w:pPr>
        <w:spacing w:before="0" w:after="60"/>
      </w:pP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934"/>
        <w:gridCol w:w="2972"/>
      </w:tblGrid>
      <w:tr>
        <w:tc>
          <w:tcPr>
            <w:tcW w:type="dxa" w:w="69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160" w:after="20"/>
            </w:pPr>
            <w:r>
              <w:rPr>
                <w:rFonts w:ascii="Arial" w:cs="Arial" w:eastAsia="Arial" w:hAnsi="Arial"/>
                <w:b/>
                <w:bCs/>
                <w:color w:val="16213E"/>
                <w:sz w:val="22"/>
                <w:szCs w:val="22"/>
              </w:rPr>
              <w:t xml:space="preserve">Surestep Systems &amp; Solutions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E94560"/>
                <w:sz w:val="21"/>
                <w:szCs w:val="21"/>
              </w:rPr>
              <w:t xml:space="preserve">Software Engineer</w:t>
            </w:r>
          </w:p>
        </w:tc>
        <w:tc>
          <w:tcPr>
            <w:tcW w:type="dxa" w:w="29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160" w:after="20"/>
              <w:jc w:val="right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2020 – 2021</w:t>
            </w:r>
          </w:p>
        </w:tc>
      </w:tr>
    </w:tbl>
    <w:p>
      <w:pPr>
        <w:spacing w:before="40" w:after="60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Full-stack development and client-facing technical delivery across web, mobile, and enterprise integrations.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Developed web portals and Android applications using C# ASP.NET and native Android, delivering 3 client projects on time.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Integrated mobile banking solutions with Microsoft Dynamics 365, streamlining financial operations for 2 banking clients.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Created and documented REST APIs; conducted KPI analysis and reporting dashboards using Power BI and Dynamics 365.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Delivered client demos and technical support, achieving consistent positive stakeholder feedback.</w:t>
      </w:r>
    </w:p>
    <w:p>
      <w:pPr>
        <w:spacing w:before="0" w:after="80"/>
      </w:pPr>
    </w:p>
    <w:p>
      <w:pPr>
        <w:spacing w:before="240" w:after="40"/>
      </w:pPr>
      <w:r>
        <w:rPr>
          <w:rFonts w:ascii="Arial" w:cs="Arial" w:eastAsia="Arial" w:hAnsi="Arial"/>
          <w:b/>
          <w:bCs/>
          <w:color w:val="16213E"/>
          <w:spacing w:val="80"/>
          <w:sz w:val="24"/>
          <w:szCs w:val="24"/>
        </w:rPr>
        <w:t xml:space="preserve">KEY PROJECTS</w:t>
      </w:r>
    </w:p>
    <w:p>
      <w:pPr>
        <w:pBdr>
          <w:bottom w:val="single" w:color="E94560" w:sz="12" w:space="1"/>
        </w:pBdr>
        <w:spacing w:before="0" w:after="80"/>
      </w:pPr>
    </w:p>
    <w:p>
      <w:pPr>
        <w:spacing w:before="120" w:after="30"/>
      </w:pPr>
      <w:r>
        <w:rPr>
          <w:rFonts w:ascii="Arial" w:cs="Arial" w:eastAsia="Arial" w:hAnsi="Arial"/>
          <w:b/>
          <w:bCs/>
          <w:color w:val="16213E"/>
          <w:sz w:val="21"/>
          <w:szCs w:val="21"/>
        </w:rPr>
        <w:t xml:space="preserve">Fintech Ecosystem Launch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·  Givva Wealthtech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Directed end-to-end delivery of a secure wealth-tech investment platform under strict CMA regulatory constraints.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Orchestrated a cross-functional squad of 8 developers and 2 BA partners; managed API integrations for 2 major asset managers.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Outcome: 10,000+ users in 12 months · Zero critical security breaches · 100% governance compliance.</w:t>
      </w:r>
    </w:p>
    <w:p>
      <w:pPr>
        <w:spacing w:before="0" w:after="60"/>
      </w:pPr>
    </w:p>
    <w:p>
      <w:pPr>
        <w:spacing w:before="80" w:after="30"/>
      </w:pPr>
      <w:r>
        <w:rPr>
          <w:rFonts w:ascii="Arial" w:cs="Arial" w:eastAsia="Arial" w:hAnsi="Arial"/>
          <w:b/>
          <w:bCs/>
          <w:color w:val="16213E"/>
          <w:sz w:val="21"/>
          <w:szCs w:val="21"/>
        </w:rPr>
        <w:t xml:space="preserve">Insurance Process Automation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·  Kenyan Alliance Insurance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Led requirements gathering and business process re-engineering for core insurance system modernisation.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Architected and deployed a C# automated workflow engine with embedded sanity and regression testing layers.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Impact: Turnaround time reduced from 10 days to 2 days (80% improvement); customer retention scores improved.</w:t>
      </w:r>
    </w:p>
    <w:p>
      <w:pPr>
        <w:spacing w:before="0" w:after="80"/>
      </w:pPr>
    </w:p>
    <w:p>
      <w:pPr>
        <w:spacing w:before="240" w:after="40"/>
      </w:pPr>
      <w:r>
        <w:rPr>
          <w:rFonts w:ascii="Arial" w:cs="Arial" w:eastAsia="Arial" w:hAnsi="Arial"/>
          <w:b/>
          <w:bCs/>
          <w:color w:val="16213E"/>
          <w:spacing w:val="80"/>
          <w:sz w:val="24"/>
          <w:szCs w:val="24"/>
        </w:rPr>
        <w:t xml:space="preserve">EDUCATION &amp; CERTIFICATIONS</w:t>
      </w:r>
    </w:p>
    <w:p>
      <w:pPr>
        <w:pBdr>
          <w:bottom w:val="single" w:color="E94560" w:sz="12" w:space="1"/>
        </w:pBdr>
        <w:spacing w:before="0" w:after="80"/>
      </w:pP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893"/>
        <w:gridCol w:w="120"/>
        <w:gridCol w:w="4893"/>
      </w:tblGrid>
      <w:tr>
        <w:tc>
          <w:tcPr>
            <w:tcW w:type="dxa" w:w="48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0"/>
              <w:right w:type="dxa" w:w="80"/>
            </w:tcMar>
          </w:tcPr>
          <w:p>
            <w:pPr>
              <w:spacing w:before="100" w:after="60"/>
            </w:pPr>
            <w:r>
              <w:rPr>
                <w:rFonts w:ascii="Arial" w:cs="Arial" w:eastAsia="Arial" w:hAnsi="Arial"/>
                <w:b/>
                <w:bCs/>
                <w:color w:val="16213E"/>
                <w:spacing w:val="60"/>
                <w:sz w:val="19"/>
                <w:szCs w:val="19"/>
              </w:rPr>
              <w:t xml:space="preserve">EDUCATION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BSc Computer Science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University of Eldoret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E94560"/>
                <w:sz w:val="19"/>
                <w:szCs w:val="19"/>
              </w:rPr>
              <w:t xml:space="preserve">2015 – 2019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48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0"/>
              <w:right w:type="dxa" w:w="0"/>
            </w:tcMar>
          </w:tcPr>
          <w:p>
            <w:pPr>
              <w:spacing w:before="100" w:after="60"/>
            </w:pPr>
            <w:r>
              <w:rPr>
                <w:rFonts w:ascii="Arial" w:cs="Arial" w:eastAsia="Arial" w:hAnsi="Arial"/>
                <w:b/>
                <w:bCs/>
                <w:color w:val="16213E"/>
                <w:spacing w:val="60"/>
                <w:sz w:val="19"/>
                <w:szCs w:val="19"/>
              </w:rPr>
              <w:t xml:space="preserve">CERTIFICATIONS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SAFe POPM</w:t>
            </w: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  ·  Scaled Agile</w:t>
            </w:r>
            <w:r>
              <w:rPr>
                <w:rFonts w:ascii="Arial" w:cs="Arial" w:eastAsia="Arial" w:hAnsi="Arial"/>
                <w:b/>
                <w:bCs/>
                <w:color w:val="E94560"/>
                <w:sz w:val="18"/>
                <w:szCs w:val="18"/>
              </w:rPr>
              <w:t xml:space="preserve">  2025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Agile Scrum Master</w:t>
            </w: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  ·  SkillUp</w:t>
            </w:r>
            <w:r>
              <w:rPr>
                <w:rFonts w:ascii="Arial" w:cs="Arial" w:eastAsia="Arial" w:hAnsi="Arial"/>
                <w:b/>
                <w:bCs/>
                <w:color w:val="E94560"/>
                <w:sz w:val="18"/>
                <w:szCs w:val="18"/>
              </w:rPr>
              <w:t xml:space="preserve">  2022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Advanced Google Analytics</w:t>
            </w: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  ·  Google</w:t>
            </w:r>
            <w:r>
              <w:rPr>
                <w:rFonts w:ascii="Arial" w:cs="Arial" w:eastAsia="Arial" w:hAnsi="Arial"/>
                <w:b/>
                <w:bCs/>
                <w:color w:val="E94560"/>
                <w:sz w:val="18"/>
                <w:szCs w:val="18"/>
              </w:rPr>
              <w:t xml:space="preserve">  2022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Data Science Program</w:t>
            </w: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  ·  Moringa School</w:t>
            </w:r>
            <w:r>
              <w:rPr>
                <w:rFonts w:ascii="Arial" w:cs="Arial" w:eastAsia="Arial" w:hAnsi="Arial"/>
                <w:b/>
                <w:bCs/>
                <w:color w:val="E94560"/>
                <w:sz w:val="18"/>
                <w:szCs w:val="18"/>
              </w:rPr>
              <w:t xml:space="preserve">  2019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AWS Cloud Practitioner</w:t>
            </w: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  ·  AWS — In Progress</w:t>
            </w:r>
            <w:r>
              <w:rPr>
                <w:rFonts w:ascii="Arial" w:cs="Arial" w:eastAsia="Arial" w:hAnsi="Arial"/>
                <w:b/>
                <w:bCs/>
                <w:color w:val="E94560"/>
                <w:sz w:val="18"/>
                <w:szCs w:val="18"/>
              </w:rPr>
              <w:t xml:space="preserve">  2026</w:t>
            </w:r>
          </w:p>
        </w:tc>
      </w:tr>
    </w:tbl>
    <w:p>
      <w:pPr>
        <w:spacing w:before="0" w:after="80"/>
      </w:pPr>
    </w:p>
    <w:p>
      <w:pPr>
        <w:spacing w:before="240" w:after="40"/>
      </w:pPr>
      <w:r>
        <w:rPr>
          <w:rFonts w:ascii="Arial" w:cs="Arial" w:eastAsia="Arial" w:hAnsi="Arial"/>
          <w:b/>
          <w:bCs/>
          <w:color w:val="16213E"/>
          <w:spacing w:val="80"/>
          <w:sz w:val="24"/>
          <w:szCs w:val="24"/>
        </w:rPr>
        <w:t xml:space="preserve">LANGUAGES</w:t>
      </w:r>
    </w:p>
    <w:p>
      <w:pPr>
        <w:pBdr>
          <w:bottom w:val="single" w:color="E94560" w:sz="12" w:space="1"/>
        </w:pBdr>
        <w:spacing w:before="0" w:after="80"/>
      </w:pPr>
    </w:p>
    <w:p>
      <w:pPr>
        <w:spacing w:before="8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English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(Fluent, Professional)     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Swahili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(Fluent, Native)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before="40" w:after="40"/>
        <w:ind w:left="480" w:hanging="280"/>
      </w:pPr>
      <w:rPr>
        <w:rFonts w:ascii="Arial" w:cs="Arial" w:eastAsia="Arial" w:hAnsi="Arial"/>
        <w:color w:val="E94560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2026-03-20T19:27:56.821Z</dcterms:created>
  <dcterms:modified xsi:type="dcterms:W3CDTF">2026-03-20T19:27:56.822Z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