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26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0"/>
                <w:sz w:val="52"/>
                <w:szCs w:val="52"/>
              </w:rPr>
              <w:t xml:space="preserve">JOSEFRIDAH M. MUTUA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Technical Project Manager  ·  Business Analyst  ·  Agile Delivery Lead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0BEC5"/>
                <w:sz w:val="18"/>
                <w:szCs w:val="18"/>
              </w:rPr>
              <w:t xml:space="preserve">+254 724 968 547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B0BEC5"/>
                <w:sz w:val="18"/>
                <w:szCs w:val="18"/>
              </w:rPr>
              <w:t xml:space="preserve">josefridahmwende71@gmail.com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B0BEC5"/>
                <w:sz w:val="18"/>
                <w:szCs w:val="18"/>
              </w:rPr>
              <w:t xml:space="preserve">Nairobi, Kenya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A5D6A7"/>
                <w:sz w:val="18"/>
                <w:szCs w:val="18"/>
              </w:rPr>
              <w:t xml:space="preserve">Open to Remote</w:t>
            </w:r>
          </w:p>
        </w:tc>
      </w:tr>
    </w:tbl>
    <w:p>
      <w:pPr>
        <w:spacing w:before="0" w:after="14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E94560"/>
          <w:spacing w:val="80"/>
          <w:sz w:val="20"/>
          <w:szCs w:val="20"/>
        </w:rPr>
        <w:t xml:space="preserve">PROFESSIONAL SUMMARY</w:t>
      </w:r>
    </w:p>
    <w:p>
      <w:pPr>
        <w:pBdr>
          <w:bottom w:val="single" w:color="E94560" w:sz="12" w:space="1"/>
        </w:pBdr>
        <w:spacing w:before="80" w:after="80"/>
      </w:pPr>
    </w:p>
    <w:p>
      <w:pPr>
        <w:spacing w:before="80" w:after="6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Technical Project Manager and Business Analyst with a BSc in Computer Science and 5+ years delivering regulated fintech and insurance platforms from requirements through go-live. Rare edge: engineering background means I can elicit requirements from business stakeholders and review API integration specs with developers — without losing anything in translation. Currently building toward AWS Cloud Engineering and DevSecOps, targeting cloud-native delivery and cloud migration PM roles.</w:t>
      </w:r>
    </w:p>
    <w:p>
      <w:pPr>
        <w:spacing w:before="0" w:after="6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E94560"/>
          <w:spacing w:val="80"/>
          <w:sz w:val="20"/>
          <w:szCs w:val="20"/>
        </w:rPr>
        <w:t xml:space="preserve">CORE COMPETENCIES</w:t>
      </w:r>
    </w:p>
    <w:p>
      <w:pPr>
        <w:pBdr>
          <w:bottom w:val="single" w:color="E94560" w:sz="12" w:space="1"/>
        </w:pBdr>
        <w:spacing w:before="80" w:after="8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75"/>
        <w:gridCol w:w="7231"/>
      </w:tblGrid>
      <w:tr>
        <w:tc>
          <w:tcPr>
            <w:tcW w:type="dxa" w:w="2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Business Analysis</w:t>
            </w:r>
          </w:p>
        </w:tc>
        <w:tc>
          <w:tcPr>
            <w:tcW w:type="dxa" w:w="7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Requirements Elicitation · SRS/BRD Authoring · User Stories · Process Mapping (As-Is/To-Be) · GAP Analysis · UAT Management · Stakeholder Workshops</w:t>
            </w:r>
          </w:p>
        </w:tc>
      </w:tr>
    </w:tbl>
    <w:p>
      <w:pPr>
        <w:spacing w:before="0" w:after="16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75"/>
        <w:gridCol w:w="7231"/>
      </w:tblGrid>
      <w:tr>
        <w:tc>
          <w:tcPr>
            <w:tcW w:type="dxa" w:w="2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7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Agile · Scrum · Kanban · SAFe (POPM) · Waterfall · Stage-Gate · PMO Governance · PID · SOW · CAPEX Management · RAG Reporting</w:t>
            </w:r>
          </w:p>
        </w:tc>
      </w:tr>
    </w:tbl>
    <w:p>
      <w:pPr>
        <w:spacing w:before="0" w:after="16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75"/>
        <w:gridCol w:w="7231"/>
      </w:tblGrid>
      <w:tr>
        <w:tc>
          <w:tcPr>
            <w:tcW w:type="dxa" w:w="2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Technical</w:t>
            </w:r>
          </w:p>
        </w:tc>
        <w:tc>
          <w:tcPr>
            <w:tcW w:type="dxa" w:w="7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&amp; SOAP APIs · SQL · PostgreSQL · .NET (C#) · Postman · Selenium · SDLC · API Integration Testing · Regression / Sanity / UAT</w:t>
            </w:r>
          </w:p>
        </w:tc>
      </w:tr>
    </w:tbl>
    <w:p>
      <w:pPr>
        <w:spacing w:before="0" w:after="16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75"/>
        <w:gridCol w:w="7231"/>
      </w:tblGrid>
      <w:tr>
        <w:tc>
          <w:tcPr>
            <w:tcW w:type="dxa" w:w="2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Tools &amp; Platforms</w:t>
            </w:r>
          </w:p>
        </w:tc>
        <w:tc>
          <w:tcPr>
            <w:tcW w:type="dxa" w:w="7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Jira (Advanced) · MS Project · Trello · Linear · Power BI · Metabase · Crystal Reports · Advanced Excel · Slack/Teams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E94560"/>
          <w:spacing w:val="80"/>
          <w:sz w:val="20"/>
          <w:szCs w:val="20"/>
        </w:rPr>
        <w:t xml:space="preserve">PROJECT CASE STUDIES</w:t>
      </w:r>
    </w:p>
    <w:p>
      <w:pPr>
        <w:pBdr>
          <w:bottom w:val="single" w:color="E94560" w:sz="12" w:space="1"/>
        </w:pBdr>
        <w:spacing w:before="80" w:after="80"/>
      </w:pPr>
    </w:p>
    <w:p>
      <w:pPr>
        <w:spacing w:before="0" w:after="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32"/>
        <w:gridCol w:w="2774"/>
      </w:tblGrid>
      <w:tr>
        <w:tc>
          <w:tcPr>
            <w:tcW w:type="dxa" w:w="71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GIVVA WEALTHTECH LIMITED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Fintech Ecosystem Launch</w:t>
            </w:r>
          </w:p>
        </w:tc>
        <w:tc>
          <w:tcPr>
            <w:tcW w:type="dxa" w:w="2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20"/>
              <w:left w:type="dxa" w:w="8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2022 – Present</w:t>
            </w:r>
          </w:p>
        </w:tc>
      </w:tr>
    </w:tbl>
    <w:p>
      <w:pPr>
        <w:spacing w:before="0" w:after="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93"/>
        <w:gridCol w:w="120"/>
        <w:gridCol w:w="4893"/>
      </w:tblGrid>
      <w:tr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CONTEXT &amp; CHALLENGE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Directed end-to-end delivery of a CMA-regulated wealth-tech investment platform integrating with 2 major asset managers. Required real-money transaction support from day one under strict regulatory constraints with a full PMO governance framework.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MY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Technical Project Manager — sole PM ownership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Requirements lead alongside 2 Business Analysts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Directed cross-functional squad of 8 developers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Owned CAPEX budget &amp; C-suite governance reporting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DELIVERY APPROACH</w:t>
      </w:r>
    </w:p>
    <w:p>
      <w:pPr>
        <w:spacing w:before="0" w:after="6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Ran 3-week Agile sprints in Jira. Facilitated daily standups, sprint reviews, and bi-weekly stakeholder demos. Managed 14-item risk register — zero escalated to critical. End-to-end API integration testing in Postman before each release gate. PID, SOW, and acceptance criteria authored and signed off before sprint 1.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</w:tblGrid>
      <w:tr>
        <w:tc>
          <w:tcPr>
            <w:tcW w:type="dxa" w:w="2477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E8FA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46"/>
                <w:sz w:val="18"/>
                <w:szCs w:val="18"/>
              </w:rPr>
              <w:t xml:space="preserve">✓  10,000+ users in 12 months</w:t>
            </w:r>
          </w:p>
        </w:tc>
        <w:tc>
          <w:tcPr>
            <w:tcW w:type="dxa" w:w="2477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E8FA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46"/>
                <w:sz w:val="18"/>
                <w:szCs w:val="18"/>
              </w:rPr>
              <w:t xml:space="preserve">✓  Zero critical security breaches</w:t>
            </w:r>
          </w:p>
        </w:tc>
        <w:tc>
          <w:tcPr>
            <w:tcW w:type="dxa" w:w="2477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E8FA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46"/>
                <w:sz w:val="18"/>
                <w:szCs w:val="18"/>
              </w:rPr>
              <w:t xml:space="preserve">✓  100% CMA compliance</w:t>
            </w:r>
          </w:p>
        </w:tc>
        <w:tc>
          <w:tcPr>
            <w:tcW w:type="dxa" w:w="2477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E8FA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46"/>
                <w:sz w:val="18"/>
                <w:szCs w:val="18"/>
              </w:rPr>
              <w:t xml:space="preserve">✓  On time &amp; within scope</w:t>
            </w:r>
          </w:p>
        </w:tc>
      </w:tr>
    </w:tbl>
    <w:p>
      <w:pPr>
        <w:spacing w:before="0" w:after="12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32"/>
        <w:gridCol w:w="2774"/>
      </w:tblGrid>
      <w:tr>
        <w:tc>
          <w:tcPr>
            <w:tcW w:type="dxa" w:w="71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KENYAN ALLIANCE INSURANCE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Insurance Process Automation</w:t>
            </w:r>
          </w:p>
        </w:tc>
        <w:tc>
          <w:tcPr>
            <w:tcW w:type="dxa" w:w="2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20"/>
              <w:left w:type="dxa" w:w="8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2021 – 2022</w:t>
            </w:r>
          </w:p>
        </w:tc>
      </w:tr>
    </w:tbl>
    <w:p>
      <w:pPr>
        <w:spacing w:before="0" w:after="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93"/>
        <w:gridCol w:w="120"/>
        <w:gridCol w:w="4893"/>
      </w:tblGrid>
      <w:tr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THE PROBLEM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underwriting and claims workflows had created a 10-day backlog of 200+ cases per week. The core insurance system (PURE) relied on paper forms and email chains with no automated validation or audit trail.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MY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Hybrid Software Engineer + Business Analyst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Led as-is/to-be process mapping workshops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Authored SRS as the single source of truth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Built &amp; deployed C# automation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Ran Regression &amp; Integration testing on SQL layers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BA APPROACH</w:t>
      </w:r>
    </w:p>
    <w:p>
      <w:pPr>
        <w:spacing w:before="0" w:after="6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Structured interviews with underwriters, claims officers, and IT to document current-state flows. Produced SRS serving as single source of truth for development. Post-automation, performed rigorous regression testing on all SQL/PostgreSQL data layers — zero data loss during EDMS migration.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</w:tblGrid>
      <w:tr>
        <w:tc>
          <w:tcPr>
            <w:tcW w:type="dxa" w:w="2477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E8FA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46"/>
                <w:sz w:val="18"/>
                <w:szCs w:val="18"/>
              </w:rPr>
              <w:t xml:space="preserve">✓  10 days → 2 days (80%)</w:t>
            </w:r>
          </w:p>
        </w:tc>
        <w:tc>
          <w:tcPr>
            <w:tcW w:type="dxa" w:w="2477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E8FA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46"/>
                <w:sz w:val="18"/>
                <w:szCs w:val="18"/>
              </w:rPr>
              <w:t xml:space="preserve">✓  Backlog eliminated 6 weeks</w:t>
            </w:r>
          </w:p>
        </w:tc>
        <w:tc>
          <w:tcPr>
            <w:tcW w:type="dxa" w:w="2477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E8FA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46"/>
                <w:sz w:val="18"/>
                <w:szCs w:val="18"/>
              </w:rPr>
              <w:t xml:space="preserve">✓  Zero data loss in migration</w:t>
            </w:r>
          </w:p>
        </w:tc>
        <w:tc>
          <w:tcPr>
            <w:tcW w:type="dxa" w:w="2477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E8FA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46"/>
                <w:sz w:val="18"/>
                <w:szCs w:val="18"/>
              </w:rPr>
              <w:t xml:space="preserve">✓  Customer retention improved</w:t>
            </w:r>
          </w:p>
        </w:tc>
      </w:tr>
    </w:tbl>
    <w:p>
      <w:pPr>
        <w:spacing w:before="0" w:after="12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32"/>
        <w:gridCol w:w="2774"/>
      </w:tblGrid>
      <w:tr>
        <w:tc>
          <w:tcPr>
            <w:tcW w:type="dxa" w:w="71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ONGOING PROFESSIONAL DEVELOPMENT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AWS Cloud Engineering Journey</w:t>
            </w:r>
          </w:p>
        </w:tc>
        <w:tc>
          <w:tcPr>
            <w:tcW w:type="dxa" w:w="2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20"/>
              <w:left w:type="dxa" w:w="8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2026</w:t>
            </w:r>
          </w:p>
        </w:tc>
      </w:tr>
    </w:tbl>
    <w:p>
      <w:pPr>
        <w:spacing w:before="0" w:after="60"/>
      </w:pPr>
    </w:p>
    <w:p>
      <w:pPr>
        <w:spacing w:before="0" w:after="60"/>
        <w:jc w:val="both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Building toward Cloud Delivery Manager and Cloud Migration PM roles. East Africa's cloud migration wave is creating demand for TPMs who understand both cloud architecture and PMO governance — a gap I'm positioning to fill. Full 17-certification roadmap: AWS Foundations → AWS Professional → Security Core → DevSecOps Mastery.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</w:tblGrid>
      <w:tr>
        <w:tc>
          <w:tcPr>
            <w:tcW w:type="dxa" w:w="2477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E8FA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46"/>
                <w:sz w:val="18"/>
                <w:szCs w:val="18"/>
              </w:rPr>
              <w:t xml:space="preserve">✓  CLF-C02 in progress</w:t>
            </w:r>
          </w:p>
        </w:tc>
        <w:tc>
          <w:tcPr>
            <w:tcW w:type="dxa" w:w="2477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E8FA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46"/>
                <w:sz w:val="18"/>
                <w:szCs w:val="18"/>
              </w:rPr>
              <w:t xml:space="preserve">✓  SAA-C03 target Q4 2026</w:t>
            </w:r>
          </w:p>
        </w:tc>
        <w:tc>
          <w:tcPr>
            <w:tcW w:type="dxa" w:w="2477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E8FA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46"/>
                <w:sz w:val="18"/>
                <w:szCs w:val="18"/>
              </w:rPr>
              <w:t xml:space="preserve">✓  Security+ planned 2027</w:t>
            </w:r>
          </w:p>
        </w:tc>
        <w:tc>
          <w:tcPr>
            <w:tcW w:type="dxa" w:w="2477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E8FA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46"/>
                <w:sz w:val="18"/>
                <w:szCs w:val="18"/>
              </w:rPr>
              <w:t xml:space="preserve">✓  DevSecOps target 2028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E94560"/>
          <w:spacing w:val="80"/>
          <w:sz w:val="20"/>
          <w:szCs w:val="20"/>
        </w:rPr>
        <w:t xml:space="preserve">CERTIFICATIONS &amp; ROADMAP</w:t>
      </w:r>
    </w:p>
    <w:p>
      <w:pPr>
        <w:pBdr>
          <w:bottom w:val="single" w:color="E94560" w:sz="12" w:space="1"/>
        </w:pBdr>
        <w:spacing w:before="80" w:after="80"/>
      </w:pPr>
    </w:p>
    <w:tbl>
      <w:tblPr>
        <w:tblW w:type="dxa" w:w="9906"/>
        <w:tblBorders>
          <w:top w:val="none" w:color="FFFFFF" w:sz="0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953"/>
        <w:gridCol w:w="2774"/>
        <w:gridCol w:w="1189"/>
        <w:gridCol w:w="991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SAFe POPM — Scaled Agile</w:t>
            </w:r>
          </w:p>
        </w:tc>
        <w:tc>
          <w:tcPr>
            <w:tcW w:type="dxa" w:w="2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Scaled Agile Institute</w:t>
            </w:r>
          </w:p>
        </w:tc>
        <w:tc>
          <w:tcPr>
            <w:tcW w:type="dxa" w:w="11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2025</w:t>
            </w:r>
          </w:p>
        </w:tc>
        <w:tc>
          <w:tcPr>
            <w:tcW w:type="dxa" w:w="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Earned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953"/>
        <w:gridCol w:w="2774"/>
        <w:gridCol w:w="1189"/>
        <w:gridCol w:w="991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Agile Scrum Master</w:t>
            </w:r>
          </w:p>
        </w:tc>
        <w:tc>
          <w:tcPr>
            <w:tcW w:type="dxa" w:w="2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SkillUp</w:t>
            </w:r>
          </w:p>
        </w:tc>
        <w:tc>
          <w:tcPr>
            <w:tcW w:type="dxa" w:w="11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2022</w:t>
            </w:r>
          </w:p>
        </w:tc>
        <w:tc>
          <w:tcPr>
            <w:tcW w:type="dxa" w:w="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Earned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953"/>
        <w:gridCol w:w="2774"/>
        <w:gridCol w:w="1189"/>
        <w:gridCol w:w="991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Advanced Google Analytics</w:t>
            </w:r>
          </w:p>
        </w:tc>
        <w:tc>
          <w:tcPr>
            <w:tcW w:type="dxa" w:w="2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Google</w:t>
            </w:r>
          </w:p>
        </w:tc>
        <w:tc>
          <w:tcPr>
            <w:tcW w:type="dxa" w:w="11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2022</w:t>
            </w:r>
          </w:p>
        </w:tc>
        <w:tc>
          <w:tcPr>
            <w:tcW w:type="dxa" w:w="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Earned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953"/>
        <w:gridCol w:w="2774"/>
        <w:gridCol w:w="1189"/>
        <w:gridCol w:w="991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 Science Program</w:t>
            </w:r>
          </w:p>
        </w:tc>
        <w:tc>
          <w:tcPr>
            <w:tcW w:type="dxa" w:w="2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Moringa School</w:t>
            </w:r>
          </w:p>
        </w:tc>
        <w:tc>
          <w:tcPr>
            <w:tcW w:type="dxa" w:w="11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2019</w:t>
            </w:r>
          </w:p>
        </w:tc>
        <w:tc>
          <w:tcPr>
            <w:tcW w:type="dxa" w:w="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Earned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953"/>
        <w:gridCol w:w="2774"/>
        <w:gridCol w:w="1189"/>
        <w:gridCol w:w="991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AWS Cloud Practitioner (CLF-C02)</w:t>
            </w:r>
          </w:p>
        </w:tc>
        <w:tc>
          <w:tcPr>
            <w:tcW w:type="dxa" w:w="2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Amazon Web Services</w:t>
            </w:r>
          </w:p>
        </w:tc>
        <w:tc>
          <w:tcPr>
            <w:tcW w:type="dxa" w:w="11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2026</w:t>
            </w:r>
          </w:p>
        </w:tc>
        <w:tc>
          <w:tcPr>
            <w:tcW w:type="dxa" w:w="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6D6A0"/>
                <w:sz w:val="17"/>
                <w:szCs w:val="17"/>
              </w:rPr>
              <w:t xml:space="preserve">In Progress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953"/>
        <w:gridCol w:w="2774"/>
        <w:gridCol w:w="1189"/>
        <w:gridCol w:w="991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AWS Solutions Architect Associate</w:t>
            </w:r>
          </w:p>
        </w:tc>
        <w:tc>
          <w:tcPr>
            <w:tcW w:type="dxa" w:w="2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Amazon Web Services</w:t>
            </w:r>
          </w:p>
        </w:tc>
        <w:tc>
          <w:tcPr>
            <w:tcW w:type="dxa" w:w="11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2026</w:t>
            </w:r>
          </w:p>
        </w:tc>
        <w:tc>
          <w:tcPr>
            <w:tcW w:type="dxa" w:w="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Planned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953"/>
        <w:gridCol w:w="2774"/>
        <w:gridCol w:w="1189"/>
        <w:gridCol w:w="991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CompTIA Security+</w:t>
            </w:r>
          </w:p>
        </w:tc>
        <w:tc>
          <w:tcPr>
            <w:tcW w:type="dxa" w:w="2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CompTIA</w:t>
            </w:r>
          </w:p>
        </w:tc>
        <w:tc>
          <w:tcPr>
            <w:tcW w:type="dxa" w:w="11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2027</w:t>
            </w:r>
          </w:p>
        </w:tc>
        <w:tc>
          <w:tcPr>
            <w:tcW w:type="dxa" w:w="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Planned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953"/>
        <w:gridCol w:w="2774"/>
        <w:gridCol w:w="1189"/>
        <w:gridCol w:w="991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Certified DevSecOps Professional</w:t>
            </w:r>
          </w:p>
        </w:tc>
        <w:tc>
          <w:tcPr>
            <w:tcW w:type="dxa" w:w="27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Practical DevSecOps</w:t>
            </w:r>
          </w:p>
        </w:tc>
        <w:tc>
          <w:tcPr>
            <w:tcW w:type="dxa" w:w="11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2028</w:t>
            </w:r>
          </w:p>
        </w:tc>
        <w:tc>
          <w:tcPr>
            <w:tcW w:type="dxa" w:w="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Planned</w:t>
            </w:r>
          </w:p>
        </w:tc>
      </w:tr>
    </w:tbl>
    <w:sectPr>
      <w:pgSz w:w="11906" w:h="16844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30" w:after="30"/>
        <w:ind w:left="480" w:hanging="280"/>
      </w:pPr>
      <w:rPr>
        <w:rFonts w:ascii="Arial" w:cs="Arial" w:eastAsia="Arial" w:hAnsi="Arial"/>
        <w:color w:val="E94560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2026-03-20T21:21:40.160Z</dcterms:created>
  <dcterms:modified xsi:type="dcterms:W3CDTF">2026-03-20T21:21:40.161Z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