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- Diagrama de classe - David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 Modelo entidade relacionamento - Jesiel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 Diagrama de sequência - David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Caso de uso - Joseiltom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 Diagrama de estado -  Jesiel, Carlos, David, Joseiltom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 Apresentação - Carlos Henrique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Java Bean - Jesiel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JSP(Telas);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 Servlet - Carlos, Jesiel, Joseiltom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DAO - Jesiel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 Conexão com Banco de dados - Jesiel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 Documento para projeto - Jesiel, Carlos, Joseiltom, David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 Script - Joseiltom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 Ícone de guia do browser -  Carlos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 Definir fundo das telas - Carlos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Fazer desenhos do projeto em vector(logo, etc) - Carlos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 Wireframe - Carlos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 Padronização do CSS -  Joseiltom, David, Carlos, Jesiel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Tela 5- Cadastrar_Usuario - Jesiel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Tela 6 – Consultar_Usuario - Jesiel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Tela 7 – Alterar_Usuario - Jesiel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Tela 9- Cadastrar_Evento; - Seu Zé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Tela 10 – Consultar_ Evento; - Seu Zé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Tela 11– Alterar_ Evento; - Seu Zé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Tela 14 – Consultar_ Participação -  (Decidir);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Tela 17 – Login - Jesiel(Falta background)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Tela 18 – Home - Carlos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Tela 19 – Suporte - Carlos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