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0"/>
          <w:szCs w:val="20"/>
          <w:rtl w:val="0"/>
        </w:rPr>
        <w:t xml:space="preserve">claración de ausencia de conflicto de intereses (DACI)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4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Expediente: 2024_014-SUM</w:t>
      </w:r>
    </w:p>
    <w:p w:rsidR="00000000" w:rsidDel="00000000" w:rsidP="00000000" w:rsidRDefault="00000000" w:rsidRPr="00000000" w14:paraId="00000007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Contrato: SERVICIO DE SOPORTE Y GARANTÍA DEL SOFTWARE DE GESTIÓN DE RED WIFI AIRWAVE PARA LA UNIVERSIDAD MIGUEL HERNÁNDEZ DE ELCHE</w:t>
      </w:r>
    </w:p>
    <w:p w:rsidR="00000000" w:rsidDel="00000000" w:rsidP="00000000" w:rsidRDefault="00000000" w:rsidRPr="00000000" w14:paraId="00000009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" w:right="340" w:firstLine="436.0000000000001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Al objeto de garantizar la imparcialidad en el procedimiento de contratación arriba referenciado, el/los abajo firmante/s, como participante/s en el proceso de licitación del expediente, declara/declaran:</w:t>
      </w:r>
    </w:p>
    <w:p w:rsidR="00000000" w:rsidDel="00000000" w:rsidP="00000000" w:rsidRDefault="00000000" w:rsidRPr="00000000" w14:paraId="0000000C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Primero.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Estar informado/s de lo siguiente:</w:t>
      </w:r>
    </w:p>
    <w:p w:rsidR="00000000" w:rsidDel="00000000" w:rsidP="00000000" w:rsidRDefault="00000000" w:rsidRPr="00000000" w14:paraId="0000000E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1. Que el artículo 61.3 «Conflicto de intereses», del Reglamento (UE, Euratom) 2018/1046 del Parlamento Europeo y del Consejo, de 18 de julio (Reglamento financiero de la UE) establece que «existirá conflicto de intereses cuando el ejercicio imparcial y objetivo de las funciones se vea comprometido por razones familiares, afectivas, de afinidad política o nacional, de interés económico o por cualquier motivo directo o indirecto de interés personal.»</w:t>
      </w:r>
    </w:p>
    <w:p w:rsidR="00000000" w:rsidDel="00000000" w:rsidP="00000000" w:rsidRDefault="00000000" w:rsidRPr="00000000" w14:paraId="00000010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2. Que el artículo 64 «Lucha contra la corrupción y prevención de los conflictos de intereses» de la Ley 9/2017, de 8 de noviembre, de Contratos del Sector Público, tiene el fin de evitar cualquier distorsión de la competencia y garantizar la transparencia en el procedimiento y asegurar la igualdad de trato a todos los candidatos y licitadores.</w:t>
      </w:r>
    </w:p>
    <w:p w:rsidR="00000000" w:rsidDel="00000000" w:rsidP="00000000" w:rsidRDefault="00000000" w:rsidRPr="00000000" w14:paraId="00000012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3. Que el artículo 23 «Abstención», de la Ley 40/2015, de 1 octubre, de Régimen Jurídico del Sector Público, establece que deberán abstenerse de intervenir en el procedimiento «las autoridades y el personal al servicio de las Administraciones en quienes se den algunas de las circunstancias señaladas en el apartado siguiente», siendo éstas:</w:t>
      </w:r>
    </w:p>
    <w:p w:rsidR="00000000" w:rsidDel="00000000" w:rsidP="00000000" w:rsidRDefault="00000000" w:rsidRPr="00000000" w14:paraId="00000014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a) Tener interés personal en el asunto de que se trate o en otro en cuya resolución pudiera influir la de aquél; ser administrador de sociedad o entidad interesada, o tener cuestión litigiosa pendiente con algún interesado.</w:t>
      </w:r>
    </w:p>
    <w:p w:rsidR="00000000" w:rsidDel="00000000" w:rsidP="00000000" w:rsidRDefault="00000000" w:rsidRPr="00000000" w14:paraId="00000016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b) Tener un vínculo matrimonial o situación de hecho asimilable y el parentesco de consanguinidad dentro del cuarto grado o de afinidad dentro del segundo, con cualquiera de los interesados, con los administradores de entidades o sociedades interesadas y también con los asesores, representantes legales o mandatarios que intervengan en el procedimiento, así como compartir despacho profesional o estar asociado con éstos para el asesoramiento, la representación o el mandato.</w:t>
      </w:r>
    </w:p>
    <w:p w:rsidR="00000000" w:rsidDel="00000000" w:rsidP="00000000" w:rsidRDefault="00000000" w:rsidRPr="00000000" w14:paraId="00000018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c) Tener amistad íntima o enemistad manifiesta con alguna de las personas mencionadas en el apartado anterior.</w:t>
      </w:r>
    </w:p>
    <w:p w:rsidR="00000000" w:rsidDel="00000000" w:rsidP="00000000" w:rsidRDefault="00000000" w:rsidRPr="00000000" w14:paraId="0000001A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d) Haber intervenido como perito o como testigo en el procedimiento de que se trate.</w:t>
      </w:r>
    </w:p>
    <w:p w:rsidR="00000000" w:rsidDel="00000000" w:rsidP="00000000" w:rsidRDefault="00000000" w:rsidRPr="00000000" w14:paraId="0000001C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e) Tener relación de servicio con persona natural o jurídica interesada directamente en el asunto, o haberle prestado en los dos últimos años servicios profesionales de cualquier tipo y en cualquier circunstancia o lugar».</w:t>
      </w:r>
    </w:p>
    <w:p w:rsidR="00000000" w:rsidDel="00000000" w:rsidP="00000000" w:rsidRDefault="00000000" w:rsidRPr="00000000" w14:paraId="0000001E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Segundo.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Que no se encuentra/n incurso/s en ninguna situación que pueda calificarse de conflicto de intereses de las indicadas en el artículo 61.3 del Reglamento Financiero de la UE y que no concurre en su/s persona/s ninguna causa de abstención del artículo 23.2 de la Ley 40/2015, de 1 de octubre, de Régimen Jurídico del Sector Público que pueda afectar al procedimiento de licitación</w:t>
      </w:r>
    </w:p>
    <w:p w:rsidR="00000000" w:rsidDel="00000000" w:rsidP="00000000" w:rsidRDefault="00000000" w:rsidRPr="00000000" w14:paraId="00000020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Tercero.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Que se compromete/n a poner en conocimiento del órgano de contratación/comisión de evaluación, sin dilación, cualquier situación de conflicto de intereses o causa de abstención que dé o pudiera dar lugar a dicho escenario.</w:t>
      </w:r>
    </w:p>
    <w:p w:rsidR="00000000" w:rsidDel="00000000" w:rsidP="00000000" w:rsidRDefault="00000000" w:rsidRPr="00000000" w14:paraId="00000022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Cuarto.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Conozco que, una declaración de ausencia de conflicto de intereses que se demuestre que sea falsa, acarreará las consecuencias disciplinarias/administrativas/judiciales que establezca la normativa de aplicación.</w:t>
      </w:r>
    </w:p>
    <w:p w:rsidR="00000000" w:rsidDel="00000000" w:rsidP="00000000" w:rsidRDefault="00000000" w:rsidRPr="00000000" w14:paraId="00000024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1" w:lineRule="auto"/>
        <w:ind w:left="283" w:right="340" w:firstLine="0"/>
        <w:jc w:val="center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(Fecha y firma, nombre completo y 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409" w:top="1701" w:left="1701" w:right="142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Frutiger-Light"/>
  <w:font w:name="Frutiger LT Std 55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leader="none" w:pos="4252"/>
        <w:tab w:val="right" w:leader="none" w:pos="8504"/>
      </w:tabs>
      <w:ind w:left="3458.2677165354335" w:firstLine="0"/>
      <w:rPr>
        <w:sz w:val="20"/>
        <w:szCs w:val="20"/>
      </w:rPr>
    </w:pPr>
    <w:r w:rsidDel="00000000" w:rsidR="00000000" w:rsidRPr="00000000">
      <w:rPr/>
      <w:drawing>
        <wp:inline distB="0" distT="0" distL="0" distR="0">
          <wp:extent cx="809625" cy="952500"/>
          <wp:effectExtent b="0" l="0" r="0" t="0"/>
          <wp:docPr descr="LOGO-ART-SEC-IMPRESION-FONDO-BLANCO" id="34" name="image1.jpg"/>
          <a:graphic>
            <a:graphicData uri="http://schemas.openxmlformats.org/drawingml/2006/picture">
              <pic:pic>
                <pic:nvPicPr>
                  <pic:cNvPr descr="LOGO-ART-SEC-IMPRESION-FONDO-BLANC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/>
      <w:ind w:right="142"/>
      <w:jc w:val="center"/>
      <w:outlineLvl w:val="0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240"/>
      <w:ind w:left="567" w:right="142"/>
      <w:jc w:val="both"/>
      <w:outlineLvl w:val="1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220"/>
      <w:ind w:left="567" w:right="142"/>
      <w:jc w:val="both"/>
      <w:outlineLvl w:val="2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left" w:pos="9360"/>
      </w:tabs>
      <w:spacing w:after="240"/>
      <w:ind w:right="142"/>
      <w:jc w:val="center"/>
      <w:outlineLvl w:val="3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spacing w:line="288" w:lineRule="auto"/>
      <w:jc w:val="center"/>
      <w:outlineLvl w:val="4"/>
    </w:pPr>
    <w:rPr>
      <w:b w:val="1"/>
      <w:color w:val="0000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widowControl w:val="0"/>
      <w:jc w:val="center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22279F"/>
    <w:pPr>
      <w:ind w:left="720"/>
      <w:contextualSpacing w:val="1"/>
    </w:p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D4335"/>
    <w:pPr>
      <w:spacing w:after="100" w:afterAutospacing="1" w:before="100" w:beforeAutospacing="1"/>
    </w:pPr>
    <w:rPr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3q6fLPF1ap3WGvdw7Ixa+qdSYg==">CgMxLjA4AHIhMUhjc0JvUzVmS0llVW1iaVNqSmtValFIS1RaSHFQT09s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2022-10-21T12:04:00Z</dcterms:created>
  <dc:creator>Serra Perez, Maria De Las Nieves</dc:creator>
</cp:coreProperties>
</file>