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- 25 de agosto de 2026</w:t>
      </w:r>
    </w:p>
    <w:p w14:paraId="57F9E69A" w14:textId="77777777" w:rsidR="005906AC" w:rsidRDefault="00817ED8">
      <w:pPr>
        <w:spacing w:after="0"/>
        <w:jc w:val="center"/>
      </w:pPr>
      <w:r>
        <w:t>Elaborado a partir de 23 conversaciones recuperadas, el historial Git y la evidencia local verificada</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154 commits visibles y HEAD 9c9c48c. Desde el corte anterior se integraron dos commits: la fecha automática de actualización de las páginas legales y la ampliación del flujo de descargas con elementos manuales. El working tree contiene además una implementación local amplia de capacidad, retención, reintentos y reservas de almacenamiento, todavía no integrada ni validada como conjunto.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160</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14:paraId="5AEF209D" w14:textId="77777777" w:rsidR="0001627B" w:rsidRDefault="00A96243">
            <w:r>
              <w:t>commits visibles en HEAD</w:t>
            </w:r>
          </w:p>
        </w:tc>
        <w:tc>
          <w:tcPr>
            <w:tcW w:w="3120" w:type="dxa"/>
            <w:shd w:val="clear" w:color="auto" w:fill="F2F4F7"/>
            <w:tcMar>
              <w:top w:w="80" w:type="dxa"/>
              <w:left w:w="120" w:type="dxa"/>
              <w:bottom w:w="80" w:type="dxa"/>
              <w:right w:w="120" w:type="dxa"/>
            </w:tcMar>
            <w:vAlign w:val="center"/>
          </w:tcPr>
          <w:p w14:paraId="22C31A0E" w14:textId="77777777" w:rsidR="0001627B" w:rsidRDefault="00A96243">
            <w:r>
              <w:t>servicios en los Compose de HEAD</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08a43bfc del 24 de agosto de 2026, verificado el 25 de agosto.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no se repitieron suites ni se extrapolan validaciones históricas a los tres commits recientes.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bl>
    <w:p w14:paraId="332C2A53" w14:textId="77777777" w:rsidR="005906AC" w:rsidRDefault="005906AC">
      <w:pPr>
        <w:spacing w:before="80" w:after="80"/>
      </w:pPr>
    </w:p>
    <w:p w14:paraId="40607EA8"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ya integra un scraper con ámbitos y evidencia de ausencia, políticas transversales mediante wrappers, una experiencia pública más precisa y accesible y el flujo de descargas manuales. El checkout local de development queda en 3ba1028 con 161 commits; origin/main contiene la fusión de PR #50. Ambos Compose mantienen 17 servicios de aplicación y perfiles auxiliares documentados. La fecha automática de las páginas legales, las políticas de MinIO y la entrega firmada del ZIP están integradas; la carga y la validación de despliegue siguen pendientes.</w:t>
      </w:r>
    </w:p>
    <w:p w14:paraId="31A92E76" w14:textId="77777777"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