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- 25 de agosto de 2026</w:t>
      </w:r>
    </w:p>
    <w:p w14:paraId="57F9E69A" w14:textId="77777777" w:rsidR="005906AC" w:rsidRDefault="00817ED8">
      <w:pPr>
        <w:spacing w:after="0"/>
        <w:jc w:val="center"/>
      </w:pPr>
      <w:r>
        <w:t>Elaborado a partir de 23 conversaciones recuperadas, el historial Git y la evidencia local verificada</w:t>
      </w:r>
    </w:p>
    <w:p w14:paraId="291075B8" w14:textId="77777777" w:rsidR="005906AC" w:rsidRDefault="00217333">
      <w:r>
        <w:br w:type="page"/>
      </w:r>
    </w:p>
    <w:p w14:paraId="7780CA2A" w14:textId="77777777" w:rsidR="005906AC" w:rsidRDefault="00217333">
      <w:pPr>
        <w:pStyle w:val="Ttulo1"/>
      </w:pPr>
      <w:r>
        <w:lastRenderedPageBreak/>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154 commits visibles y HEAD 9c9c48c. Desde el corte anterior se integraron dos commits: la fecha automática de actualización de las páginas legales y la ampliación del flujo de descargas con elementos manuales. El working tree contiene además una implementación local amplia de capacidad, retención, reintentos y reservas de almacenamiento, todavía no integrada ni validada como conjunto.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160</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lastRenderedPageBreak/>
        <w:t>No se arrancó ni reinició la aplicación completa para preparar este informe. Los resultados desplegados y suites citados en fechas anteriores siguen siendo evidencia histórica. En esta ejecución se verificaron Git, configuración, ambos Compose de HEAD y el árbol LaTeX; no se repitieron suites ni se extrapolan validaciones históricas a los tres commits recientes.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lastRenderedPageBreak/>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lastRenderedPageBreak/>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lastRenderedPageBreak/>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lastRenderedPageBreak/>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lastRenderedPageBreak/>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lastRenderedPageBreak/>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lastRenderedPageBreak/>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lastRenderedPageBreak/>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lastRenderedPageBreak/>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bl>
    <w:p w14:paraId="332C2A53" w14:textId="77777777" w:rsidR="005906AC" w:rsidRDefault="005906AC">
      <w:pPr>
        <w:spacing w:before="80" w:after="80"/>
      </w:pPr>
    </w:p>
    <w:p w14:paraId="40607EA8"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27-08-2026</w:t>
            </w:r>
          </w:p>
        </w:tc>
        <w:tc>
          <w:tcPr>
            <w:tcW w:type="dxa" w:w="7160"/>
          </w:tcPr>
          <w:p>
            <w:r>
              <w:t>HEAD local development 52ef2ff/160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una experiencia pública más precisa y accesible y el flujo de descargas manuales. El checkout local de development queda en 52ef2ff con 160 commits; origin/main contiene la fusión de PR #50. Ambos Compose mantienen 17 servicios de aplicación y perfiles auxiliares documentados. La fecha automática de las páginas legales, las políticas de MinIO y la entrega firmada del ZIP están integradas; la carga y la validación de despliegue siguen pendientes.</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