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4251960" cy="1135557"/>
            <wp:docPr id="1" name="Picture 1" descr="Logotipo de Batch-Downloader con cajas y el nombre del proyecto" title="Batch-Downloader"/>
            <wp:cNvGraphicFramePr>
              <a:graphicFrameLocks noChangeAspect="1"/>
            </wp:cNvGraphicFramePr>
            <a:graphic>
              <a:graphicData uri="http://schemas.openxmlformats.org/drawingml/2006/picture">
                <pic:pic>
                  <pic:nvPicPr>
                    <pic:cNvPr id="0" name="BatchDownloaderI.png"/>
                    <pic:cNvPicPr/>
                  </pic:nvPicPr>
                  <pic:blipFill>
                    <a:blip r:embed="rId11"/>
                    <a:stretch>
                      <a:fillRect/>
                    </a:stretch>
                  </pic:blipFill>
                  <pic:spPr>
                    <a:xfrm>
                      <a:off x="0" y="0"/>
                      <a:ext cx="4251960" cy="1135557"/>
                    </a:xfrm>
                    <a:prstGeom prst="rect"/>
                  </pic:spPr>
                </pic:pic>
              </a:graphicData>
            </a:graphic>
          </wp:inline>
        </w:drawing>
      </w:r>
    </w:p>
    <w:p>
      <w:pPr>
        <w:spacing w:before="680" w:after="200"/>
        <w:jc w:val="center"/>
      </w:pPr>
      <w:r>
        <w:rPr>
          <w:rFonts w:ascii="Calibri" w:hAnsi="Calibri"/>
          <w:b/>
          <w:color w:val="B87918"/>
          <w:sz w:val="21"/>
        </w:rPr>
        <w:t>INFORME DE EVOLUCIÓN DEL PROYECTO</w:t>
      </w:r>
    </w:p>
    <w:p>
      <w:pPr>
        <w:spacing w:after="160"/>
        <w:jc w:val="center"/>
      </w:pPr>
      <w:r>
        <w:rPr>
          <w:rFonts w:ascii="Calibri" w:hAnsi="Calibri"/>
          <w:b/>
          <w:color w:val="123A63"/>
          <w:sz w:val="60"/>
        </w:rPr>
        <w:t>Batch-Downloader</w:t>
      </w:r>
    </w:p>
    <w:p>
      <w:pPr>
        <w:spacing w:after="560"/>
        <w:jc w:val="center"/>
      </w:pPr>
      <w:r>
        <w:rPr>
          <w:rFonts w:ascii="Calibri" w:hAnsi="Calibri"/>
          <w:color w:val="1F4D78"/>
          <w:sz w:val="30"/>
        </w:rPr>
        <w:t>Cronología, avances, problemas y soluciones</w:t>
      </w:r>
    </w:p>
    <w:p>
      <w:pPr>
        <w:spacing w:after="80"/>
        <w:jc w:val="center"/>
      </w:pPr>
      <w:r>
        <w:t>Periodo analizado: 16 de junio - 29 de julio de 2026</w:t>
      </w:r>
    </w:p>
    <w:p>
      <w:pPr>
        <w:spacing w:after="0"/>
        <w:jc w:val="center"/>
      </w:pPr>
      <w:r>
        <w:t>Elaborado a partir de 18 conversaciones recuperadas, el historial Git y la documentación actual</w:t>
      </w:r>
    </w:p>
    <w:p>
      <w:r>
        <w:br w:type="page"/>
      </w:r>
    </w:p>
    <w:p>
      <w:pPr>
        <w:pStyle w:val="Heading1"/>
      </w:pPr>
      <w:r>
        <w:t>Resumen ejecutivo</w:t>
      </w:r>
    </w:p>
    <w:p>
      <w:r>
        <w:rPr>
          <w:rFonts w:ascii="Calibri" w:hAnsi="Calibri"/>
          <w:i w:val="0"/>
          <w:color w:val="202A35"/>
          <w:sz w:val="22"/>
        </w:rP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r>
        <w:t>El resultado actual es un monorepo en la rama development con 111 commits visibles, un Compose de 16 servicios, MySQL como autoridad transaccional del catálogo, PostgreSQL/pgvector como proyección reconstruible, RabbitMQ para eventos, MinIO para ZIP y artefactos, y una interfaz React/Vite servida por Nginx. La búsqueda semántica y la administración de modelos están integradas, aunque la evaluación completa que podría justificar la promoción de un modelo sigue pendiente de métricas finales. La administración de aplicaciones añade ahora resolución manual multinstalador y alta asistida desde la web oficial.</w:t>
      </w:r>
    </w:p>
    <w:p>
      <w:pPr>
        <w:spacing w:before="100" w:after="200" w:line="264" w:lineRule="auto"/>
        <w:ind w:left="259" w:right="173"/>
        <w:shd w:val="clear" w:fill="FFF6E6"/>
      </w:pPr>
      <w:r>
        <w:rPr>
          <w:rFonts w:ascii="Calibri" w:hAnsi="Calibri"/>
          <w:b/>
          <w:color w:val="B87918"/>
          <w:sz w:val="22"/>
        </w:rPr>
        <w:t xml:space="preserve">Conclusión principal: </w:t>
      </w:r>
      <w:r>
        <w:rPr>
          <w:rFonts w:ascii="Calibri" w:hAnsi="Calibri"/>
          <w:color w:val="202A35"/>
          <w:sz w:val="22"/>
        </w:rPr>
        <w:t>El proyecto ha madurado sobre todo en fiabilidad operativa: las incidencias ya no se resuelven con excepciones aisladas, sino mediante invariantes de catálogo, recuperación de leases, revalidación justo antes de descargar y degradación segura cuando un servicio auxiliar no está disponible.</w:t>
      </w:r>
    </w:p>
    <w:tbl>
      <w:tblPr>
        <w:tblW w:type="dxa" w:w="9360"/>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111</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18</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16</w:t>
            </w:r>
          </w:p>
        </w:tc>
        <w:tc>
          <w:tcPr>
            <w:tcW w:type="dxa" w:w="2340"/>
            <w:tcMar>
              <w:top w:w="80" w:type="dxa"/>
              <w:start w:w="120" w:type="dxa"/>
              <w:bottom w:w="80" w:type="dxa"/>
              <w:end w:w="120" w:type="dxa"/>
            </w:tcMar>
            <w:vAlign w:val="center"/>
            <w:shd w:fill="123A63" w:val="clear"/>
          </w:tcPr>
          <w:p>
            <w:pPr>
              <w:spacing w:after="0"/>
              <w:jc w:val="center"/>
            </w:pPr>
            <w:r>
              <w:rPr>
                <w:rFonts w:ascii="Calibri" w:hAnsi="Calibri"/>
                <w:b/>
                <w:color w:val="FFFFFF"/>
                <w:sz w:val="36"/>
              </w:rPr>
              <w:t>48</w:t>
            </w:r>
          </w:p>
        </w:tc>
      </w:tr>
      <w:tr>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commits visibles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conversaciones analizadas</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servicios en Compose</w:t>
            </w:r>
          </w:p>
        </w:tc>
        <w:tc>
          <w:tcPr>
            <w:tcW w:type="dxa" w:w="2340"/>
            <w:tcMar>
              <w:top w:w="80" w:type="dxa"/>
              <w:start w:w="120" w:type="dxa"/>
              <w:bottom w:w="80" w:type="dxa"/>
              <w:end w:w="120" w:type="dxa"/>
            </w:tcMar>
            <w:vAlign w:val="center"/>
            <w:shd w:fill="F2F4F7" w:val="clear"/>
          </w:tcPr>
          <w:p>
            <w:pPr>
              <w:spacing w:after="0"/>
              <w:jc w:val="center"/>
            </w:pPr>
            <w:r>
              <w:rPr>
                <w:rFonts w:ascii="Calibri" w:hAnsi="Calibri"/>
                <w:b/>
                <w:color w:val="5F6B78"/>
                <w:sz w:val="17"/>
              </w:rPr>
              <w:t>requisitos organizados como issues</w:t>
            </w:r>
          </w:p>
        </w:tc>
      </w:tr>
    </w:tbl>
    <w:p/>
    <w:p>
      <w:pPr>
        <w:pStyle w:val="Heading1"/>
      </w:pPr>
      <w:r>
        <w:t>Alcance y método</w:t>
      </w:r>
    </w:p>
    <w:p>
      <w:r>
        <w:t>Este informe combina cuatro fuentes: historiales de tareas de Codex vinculadas al checkout principal, conversaciones del repositorio hermano de la memoria LaTeX, una tarea de organización del proyecto en GitHub y el historial Git local hasta el commit 814f0e8 del 28 de julio de 2026, verificado el 29 de julio. También se contrastaron README.md, .github/copilot-instructions.md, los dos Compose y el estado y las fechas de los PDF de la memoria.</w:t>
      </w:r>
    </w:p>
    <w:p>
      <w:pPr>
        <w:numPr>
          <w:ilvl w:val="0"/>
          <w:numId w:val="10"/>
        </w:numPr>
        <w:spacing w:after="160" w:line="280" w:lineRule="auto"/>
      </w:pPr>
      <w:r>
        <w:rPr>
          <w:rFonts w:ascii="Calibri" w:hAnsi="Calibri"/>
          <w:color w:val="202A35"/>
          <w:sz w:val="22"/>
        </w:rPr>
        <w:t>Se recuperaron todas las conversaciones relevantes visibles dentro de las 50 tareas recientes que la aplicación permite listar en esta sesión.</w:t>
      </w:r>
    </w:p>
    <w:p>
      <w:pPr>
        <w:numPr>
          <w:ilvl w:val="0"/>
          <w:numId w:val="10"/>
        </w:numPr>
        <w:spacing w:after="160" w:line="280" w:lineRule="auto"/>
      </w:pPr>
      <w:r>
        <w:rPr>
          <w:rFonts w:ascii="Calibri" w:hAnsi="Calibri"/>
          <w:color w:val="202A35"/>
          <w:sz w:val="22"/>
        </w:rPr>
        <w:t>Las cifras históricas se presentan como hitos de verificación en la fecha en que se registraron; no se asume que sigan siendo idénticas hoy.</w:t>
      </w:r>
    </w:p>
    <w:p>
      <w:pPr>
        <w:numPr>
          <w:ilvl w:val="0"/>
          <w:numId w:val="10"/>
        </w:numPr>
        <w:spacing w:after="160" w:line="280" w:lineRule="auto"/>
      </w:pPr>
      <w:r>
        <w:rPr>
          <w:rFonts w:ascii="Calibri" w:hAnsi="Calibri"/>
          <w:color w:val="202A35"/>
          <w:sz w:val="22"/>
        </w:rPr>
        <w:t>Las decisiones sustituidas se señalan expresamente. Por ejemplo, el estado público pending fue introducido y después eliminado, y la redacción manual de descripciones fue reemplazada por una fase LLM persistente.</w:t>
      </w:r>
    </w:p>
    <w:p>
      <w:pPr>
        <w:numPr>
          <w:ilvl w:val="0"/>
          <w:numId w:val="10"/>
        </w:numPr>
        <w:spacing w:after="160" w:line="280" w:lineRule="auto"/>
      </w:pPr>
      <w:r>
        <w:rPr>
          <w:rFonts w:ascii="Calibri" w:hAnsi="Calibri"/>
          <w:color w:val="202A35"/>
          <w:sz w:val="22"/>
        </w:rPr>
        <w:t>No se arrancó de nuevo la aplicación completa para preparar este informe. El estado actual se verificó mediante Git, configuración y documentación, respetando la preferencia del proyecto de reservar la prueba manual de la aplicación al usuario.</w:t>
      </w:r>
    </w:p>
    <w:p>
      <w:pPr>
        <w:spacing w:before="100" w:after="200" w:line="264" w:lineRule="auto"/>
        <w:ind w:left="259" w:right="173"/>
        <w:shd w:val="clear" w:fill="F2F4F7"/>
      </w:pPr>
      <w:r>
        <w:rPr>
          <w:rFonts w:ascii="Calibri" w:hAnsi="Calibri"/>
          <w:b/>
          <w:color w:val="5F6B78"/>
          <w:sz w:val="22"/>
        </w:rPr>
        <w:t xml:space="preserve">Límite de la fuente: </w:t>
      </w:r>
      <w:r>
        <w:rPr>
          <w:rFonts w:ascii="Calibri" w:hAnsi="Calibri"/>
          <w:color w:val="202A35"/>
          <w:sz w:val="22"/>
        </w:rPr>
        <w:t>El informe cubre el historial visible y el historial Git local. No puede garantizar que una conversación más antigua o eliminada, fuera de ese alcance, esté representada.</w:t>
      </w:r>
    </w:p>
    <w:p>
      <w:pPr>
        <w:pStyle w:val="Heading1"/>
      </w:pPr>
      <w:r>
        <w:t>Cronología de un vistazo</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500"/>
        <w:gridCol w:w="2100"/>
        <w:gridCol w:w="5760"/>
      </w:tblGrid>
      <w:tr>
        <w:trPr>
          <w:tblHeader w:val="true"/>
        </w:trPr>
        <w:tc>
          <w:tcPr>
            <w:tcW w:type="dxa" w:w="1500"/>
            <w:tcMar>
              <w:top w:w="80" w:type="dxa"/>
              <w:start w:w="120" w:type="dxa"/>
              <w:bottom w:w="80" w:type="dxa"/>
              <w:end w:w="120" w:type="dxa"/>
            </w:tcMar>
            <w:vAlign w:val="center"/>
            <w:shd w:fill="E8EEF5" w:val="clear"/>
          </w:tcPr>
          <w:p>
            <w:pPr>
              <w:spacing w:after="0"/>
            </w:pPr>
            <w:r>
              <w:rPr>
                <w:rFonts w:ascii="Calibri" w:hAnsi="Calibri"/>
                <w:b/>
                <w:color w:val="123A63"/>
                <w:sz w:val="18"/>
              </w:rPr>
              <w:t>Periodo</w:t>
            </w:r>
          </w:p>
        </w:tc>
        <w:tc>
          <w:tcPr>
            <w:tcW w:type="dxa" w:w="2100"/>
            <w:tcMar>
              <w:top w:w="80" w:type="dxa"/>
              <w:start w:w="120" w:type="dxa"/>
              <w:bottom w:w="80" w:type="dxa"/>
              <w:end w:w="120" w:type="dxa"/>
            </w:tcMar>
            <w:vAlign w:val="center"/>
            <w:shd w:fill="E8EEF5" w:val="clear"/>
          </w:tcPr>
          <w:p>
            <w:pPr>
              <w:spacing w:after="0"/>
            </w:pPr>
            <w:r>
              <w:rPr>
                <w:rFonts w:ascii="Calibri" w:hAnsi="Calibri"/>
                <w:b/>
                <w:color w:val="123A63"/>
                <w:sz w:val="18"/>
              </w:rPr>
              <w:t>Foco</w:t>
            </w:r>
          </w:p>
        </w:tc>
        <w:tc>
          <w:tcPr>
            <w:tcW w:type="dxa" w:w="5760"/>
            <w:tcMar>
              <w:top w:w="80" w:type="dxa"/>
              <w:start w:w="120" w:type="dxa"/>
              <w:bottom w:w="80" w:type="dxa"/>
              <w:end w:w="120" w:type="dxa"/>
            </w:tcMar>
            <w:vAlign w:val="center"/>
            <w:shd w:fill="E8EEF5" w:val="clear"/>
          </w:tcPr>
          <w:p>
            <w:pPr>
              <w:spacing w:after="0"/>
            </w:pPr>
            <w:r>
              <w:rPr>
                <w:rFonts w:ascii="Calibri" w:hAnsi="Calibri"/>
                <w:b/>
                <w:color w:val="123A63"/>
                <w:sz w:val="18"/>
              </w:rPr>
              <w:t>Resultado general</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16-25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Fundación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Repositorio, licencia, README, plantilla, marca y estructura del monorepo.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18-23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Memoria y planificación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Objetivos, maquetación, acrónimos, trabajos relacionados y 48 requisitos convertidos en issues.</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jun</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MVP funcional</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Scraper Winstall, FastAPI, React/Vite, MySQL, traducciones, servicios mínimos y Compose.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30 jun-4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Catálogo y administración</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LLM para descripciones, WebSocket, descargas por selección, UUID, facetas, filtros e i18n centralizado.</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7-10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Pipeline y endurecimiento</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CSS modular, colas Searcher/Filter/Scraper, leases, observabilidad, GHCR y validación avanzada.</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11-16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Plataforma distribuida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Usuarios, jobs, worker de descargas, notificaciones, MinIO, SSE, cancelación y Descriptor persistente.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18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Estados coherentes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available/review/missing como estados públicos, proyección MySQL y eliminación pública de pending.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23-24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Semántica y Python 3.14t</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pgvector, modelos Hugging Face, búsqueda semántica, entrenamiento reproducible y free-threading.</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26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UX y operación avanzada</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Bundles por SO, más descargadas, administración semántica, fallos parciales y benchmark recuperable.</w:t>
            </w:r>
          </w:p>
        </w:tc>
      </w:tr>
      <w:tr>
        <w:tc>
          <w:tcPr>
            <w:tcW w:type="dxa" w:w="1500"/>
            <w:tcMar>
              <w:top w:w="80" w:type="dxa"/>
              <w:start w:w="120" w:type="dxa"/>
              <w:bottom w:w="80" w:type="dxa"/>
              <w:end w:w="120" w:type="dxa"/>
            </w:tcMar>
            <w:vAlign w:val="center"/>
          </w:tcPr>
          <w:p>
            <w:pPr>
              <w:spacing w:after="0" w:line="252" w:lineRule="auto"/>
            </w:pPr>
            <w:r>
              <w:rPr>
                <w:rFonts w:ascii="Calibri" w:hAnsi="Calibri"/>
                <w:color w:val="202A35"/>
                <w:sz w:val="18"/>
              </w:rPr>
              <w:t>28 jul</w:t>
            </w:r>
          </w:p>
        </w:tc>
        <w:tc>
          <w:tcPr>
            <w:tcW w:type="dxa" w:w="2100"/>
            <w:tcMar>
              <w:top w:w="80" w:type="dxa"/>
              <w:start w:w="120" w:type="dxa"/>
              <w:bottom w:w="80" w:type="dxa"/>
              <w:end w:w="120" w:type="dxa"/>
            </w:tcMar>
            <w:vAlign w:val="center"/>
          </w:tcPr>
          <w:p>
            <w:pPr>
              <w:spacing w:after="0" w:line="252" w:lineRule="auto"/>
            </w:pPr>
            <w:r>
              <w:rPr>
                <w:rFonts w:ascii="Calibri" w:hAnsi="Calibri"/>
                <w:color w:val="202A35"/>
                <w:sz w:val="18"/>
              </w:rPr>
              <w:t>Administración asistida y correcciones</w:t>
            </w:r>
          </w:p>
        </w:tc>
        <w:tc>
          <w:tcPr>
            <w:tcW w:type="dxa" w:w="5760"/>
            <w:tcMar>
              <w:top w:w="80" w:type="dxa"/>
              <w:start w:w="120" w:type="dxa"/>
              <w:bottom w:w="80" w:type="dxa"/>
              <w:end w:w="120" w:type="dxa"/>
            </w:tcMar>
            <w:vAlign w:val="center"/>
          </w:tcPr>
          <w:p>
            <w:pPr>
              <w:spacing w:after="0" w:line="252" w:lineRule="auto"/>
            </w:pPr>
            <w:r>
              <w:rPr>
                <w:rFonts w:ascii="Calibri" w:hAnsi="Calibri"/>
                <w:color w:val="202A35"/>
                <w:sz w:val="18"/>
              </w:rPr>
              <w:t>Snapshots de evaluación, UUID, resolución manual multinstalador y alta desde web oficial.</w:t>
            </w:r>
          </w:p>
        </w:tc>
      </w:tr>
    </w:tbl>
    <w:p>
      <w:pPr>
        <w:spacing w:before="80" w:after="80"/>
      </w:pPr>
    </w:p>
    <w:p>
      <w:pPr>
        <w:pStyle w:val="Heading1"/>
      </w:pPr>
      <w:r>
        <w:t>Cronología detallada</w:t>
      </w:r>
    </w:p>
    <w:p>
      <w:pPr>
        <w:pStyle w:val="Heading2"/>
      </w:pPr>
      <w:r>
        <w:t>16 de junio - Inicio formal</w:t>
      </w:r>
    </w:p>
    <w:p>
      <w:r>
        <w:rPr>
          <w:rFonts w:ascii="Calibri" w:hAnsi="Calibri"/>
          <w:i w:val="0"/>
          <w:color w:val="202A35"/>
          <w:sz w:val="22"/>
        </w:rPr>
        <w:t>Se creó el repositorio y se incorporaron los primeros elementos de identidad: licencia, autoría y una descripción inicial del objetivo del sistema. Era todavía una base documental, sin la plataforma distribuida que existe hoy.</w:t>
      </w:r>
    </w:p>
    <w:p>
      <w:pPr>
        <w:pStyle w:val="Heading2"/>
      </w:pPr>
      <w:r>
        <w:t>18-23 de junio - Memoria, requisitos y planificación</w:t>
      </w:r>
    </w:p>
    <w:p>
      <w:r>
        <w:rPr>
          <w:rFonts w:ascii="Calibri" w:hAnsi="Calibri"/>
          <w:i w:val="0"/>
          <w:color w:val="202A35"/>
          <w:sz w:val="22"/>
        </w:rP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r>
        <w:rPr>
          <w:rFonts w:ascii="Calibri" w:hAnsi="Calibri"/>
          <w:i w:val="0"/>
          <w:color w:val="202A35"/>
          <w:sz w:val="22"/>
        </w:rP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r>
        <w:rPr>
          <w:rFonts w:ascii="Calibri" w:hAnsi="Calibri"/>
          <w:i w:val="0"/>
          <w:color w:val="202A35"/>
          <w:sz w:val="22"/>
        </w:rP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pPr>
        <w:pStyle w:val="Heading2"/>
      </w:pPr>
      <w:r>
        <w:t>25-26 de junio - Del esqueleto al MVP</w:t>
      </w:r>
    </w:p>
    <w:p>
      <w:r>
        <w:rPr>
          <w:rFonts w:ascii="Calibri" w:hAnsi="Calibri"/>
          <w:i w:val="0"/>
          <w:color w:val="202A35"/>
          <w:sz w:val="22"/>
        </w:rP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r>
        <w:rPr>
          <w:rFonts w:ascii="Calibri" w:hAnsi="Calibri"/>
          <w:i w:val="0"/>
          <w:color w:val="202A35"/>
          <w:sz w:val="22"/>
        </w:rP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pPr>
        <w:spacing w:before="100" w:after="200" w:line="264" w:lineRule="auto"/>
        <w:ind w:left="259" w:right="173"/>
        <w:shd w:val="clear" w:fill="E8EEF5"/>
      </w:pPr>
      <w:r>
        <w:rPr>
          <w:rFonts w:ascii="Calibri" w:hAnsi="Calibri"/>
          <w:b/>
          <w:color w:val="123A63"/>
          <w:sz w:val="22"/>
        </w:rPr>
        <w:t xml:space="preserve">Hito técnico: </w:t>
      </w:r>
      <w:r>
        <w:rPr>
          <w:rFonts w:ascii="Calibri" w:hAnsi="Calibri"/>
          <w:color w:val="202A35"/>
          <w:sz w:val="22"/>
        </w:rPr>
        <w:t>El repositorio pasó en un día de servicios mayoritariamente vacíos a una aplicación compuesta ejecutable, con catálogo persistente y una primera descarga redirigida a un instalador real.</w:t>
      </w:r>
    </w:p>
    <w:p>
      <w:pPr>
        <w:pStyle w:val="Heading2"/>
      </w:pPr>
      <w:r>
        <w:t>30 de junio - Descripciones y panel administrativo</w:t>
      </w:r>
    </w:p>
    <w:p>
      <w:r>
        <w:rPr>
          <w:rFonts w:ascii="Calibri" w:hAnsi="Calibri"/>
          <w:i w:val="0"/>
          <w:color w:val="202A35"/>
          <w:sz w:val="22"/>
        </w:rP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r>
        <w:rPr>
          <w:rFonts w:ascii="Calibri" w:hAnsi="Calibri"/>
          <w:i w:val="0"/>
          <w:color w:val="202A35"/>
          <w:sz w:val="22"/>
        </w:rP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pPr>
        <w:pStyle w:val="Heading2"/>
      </w:pPr>
      <w:r>
        <w:t>1 de julio - Catálogo compartible y descargas múltiples</w:t>
      </w:r>
    </w:p>
    <w:p>
      <w:r>
        <w:rPr>
          <w:rFonts w:ascii="Calibri" w:hAnsi="Calibri"/>
          <w:i w:val="0"/>
          <w:color w:val="202A35"/>
          <w:sz w:val="22"/>
        </w:rP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r>
        <w:rPr>
          <w:rFonts w:ascii="Calibri" w:hAnsi="Calibri"/>
          <w:i w:val="0"/>
          <w:color w:val="202A35"/>
          <w:sz w:val="22"/>
        </w:rP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pPr>
        <w:pStyle w:val="Heading2"/>
      </w:pPr>
      <w:r>
        <w:t>3-4 de julio - Rendimiento, facetas e internacionalización</w:t>
      </w:r>
    </w:p>
    <w:p>
      <w:r>
        <w:rPr>
          <w:rFonts w:ascii="Calibri" w:hAnsi="Calibri"/>
          <w:i w:val="0"/>
          <w:color w:val="202A35"/>
          <w:sz w:val="22"/>
        </w:rP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r>
        <w:rPr>
          <w:rFonts w:ascii="Calibri" w:hAnsi="Calibri"/>
          <w:i w:val="0"/>
          <w:color w:val="202A35"/>
          <w:sz w:val="22"/>
        </w:rP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pPr>
        <w:pStyle w:val="Heading2"/>
      </w:pPr>
      <w:r>
        <w:t>7-8 de julio - Pipeline persistente y despliegue GHCR</w:t>
      </w:r>
    </w:p>
    <w:p>
      <w:r>
        <w:rPr>
          <w:rFonts w:ascii="Calibri" w:hAnsi="Calibri"/>
          <w:i w:val="0"/>
          <w:color w:val="202A35"/>
          <w:sz w:val="22"/>
        </w:rP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r>
        <w:rPr>
          <w:rFonts w:ascii="Calibri" w:hAnsi="Calibri"/>
          <w:i w:val="0"/>
          <w:color w:val="202A35"/>
          <w:sz w:val="22"/>
        </w:rPr>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r>
        <w:rPr>
          <w:rFonts w:ascii="Calibri" w:hAnsi="Calibri"/>
          <w:i w:val="0"/>
          <w:color w:val="202A35"/>
          <w:sz w:val="22"/>
        </w:rPr>
        <w:t>El despliegue se separó entre desarrollo y GHCR, con un workflow que construye en pull requests y publica desde main. README y .env.example documentaron ambos flujos. La nomenclatura cambió con el tiempo; el estado actual usa docker-compose.yml y docker-compose.ghcr.yml.</w:t>
      </w:r>
    </w:p>
    <w:p>
      <w:pPr>
        <w:pStyle w:val="Heading2"/>
      </w:pPr>
      <w:r>
        <w:t>9-10 de julio - Validación de fuentes y cuarta fase</w:t>
      </w:r>
    </w:p>
    <w:p>
      <w:r>
        <w:rPr>
          <w:rFonts w:ascii="Calibri" w:hAnsi="Calibri"/>
          <w:i w:val="0"/>
          <w:color w:val="202A35"/>
          <w:sz w:val="22"/>
        </w:rP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r>
        <w:rPr>
          <w:rFonts w:ascii="Calibri" w:hAnsi="Calibri"/>
          <w:i w:val="0"/>
          <w:color w:val="202A35"/>
          <w:sz w:val="22"/>
        </w:rP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r>
        <w:rPr>
          <w:rFonts w:ascii="Calibri" w:hAnsi="Calibri"/>
          <w:i w:val="0"/>
          <w:color w:val="202A35"/>
          <w:sz w:val="22"/>
        </w:rPr>
        <w:t>Una ejecución quedó marcada running/paused tras un reinicio. Se saneó como partial/force_stopped, se liberaron items en progreso y se añadieron controles de parada forzada y limpieza segura. El frontend pidió confirmación antes de vaciar todas las colas.</w:t>
      </w:r>
    </w:p>
    <w:p>
      <w:pPr>
        <w:pStyle w:val="Heading2"/>
      </w:pPr>
      <w:r>
        <w:t>11-16 de julio - Plataforma completa de servicios</w:t>
      </w:r>
    </w:p>
    <w:p>
      <w:r>
        <w:rPr>
          <w:rFonts w:ascii="Calibri" w:hAnsi="Calibri"/>
          <w:i w:val="0"/>
          <w:color w:val="202A35"/>
          <w:sz w:val="22"/>
        </w:rP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r>
        <w:rPr>
          <w:rFonts w:ascii="Calibri" w:hAnsi="Calibri"/>
          <w:i w:val="0"/>
          <w:color w:val="202A35"/>
          <w:sz w:val="22"/>
        </w:rP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r>
        <w:rPr>
          <w:rFonts w:ascii="Calibri" w:hAnsi="Calibri"/>
          <w:i w:val="0"/>
          <w:color w:val="202A35"/>
          <w:sz w:val="22"/>
        </w:rP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pPr>
        <w:pStyle w:val="Heading2"/>
      </w:pPr>
      <w:r>
        <w:t>18 de julio - Estados públicos e invariantes de catálogo</w:t>
      </w:r>
    </w:p>
    <w:p>
      <w:r>
        <w:rPr>
          <w:rFonts w:ascii="Calibri" w:hAnsi="Calibri"/>
          <w:i w:val="0"/>
          <w:color w:val="202A35"/>
          <w:sz w:val="22"/>
        </w:rP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r>
        <w:rPr>
          <w:rFonts w:ascii="Calibri" w:hAnsi="Calibri"/>
          <w:i w:val="0"/>
          <w:color w:val="202A35"/>
          <w:sz w:val="22"/>
        </w:rP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r>
        <w:rPr>
          <w:rFonts w:ascii="Calibri" w:hAnsi="Calibri"/>
          <w:i w:val="0"/>
          <w:color w:val="202A35"/>
          <w:sz w:val="22"/>
        </w:rP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pPr>
        <w:pStyle w:val="Heading2"/>
      </w:pPr>
      <w:r>
        <w:t>23-24 de julio - Búsqueda semántica y CPython 3.14t</w:t>
      </w:r>
    </w:p>
    <w:p>
      <w:r>
        <w:rPr>
          <w:rFonts w:ascii="Calibri" w:hAnsi="Calibri"/>
          <w:i w:val="0"/>
          <w:color w:val="202A35"/>
          <w:sz w:val="22"/>
        </w:rP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r>
        <w:rPr>
          <w:rFonts w:ascii="Calibri" w:hAnsi="Calibri"/>
          <w:i w:val="0"/>
          <w:color w:val="202A35"/>
          <w:sz w:val="22"/>
        </w:rP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r>
        <w:rPr>
          <w:rFonts w:ascii="Calibri" w:hAnsi="Calibri"/>
          <w:i w:val="0"/>
          <w:color w:val="202A35"/>
          <w:sz w:val="22"/>
        </w:rPr>
        <w:t>El smoke semántico verificó descarga, LoRA, evaluación e informes, pero no fue elegible para promover un modelo. E5-base zero-shot permaneció activo. Las fuentes LaTeX se actualizaron, aunque la conversación no verificó ambos PDF finales después de esos cambios.</w:t>
      </w:r>
    </w:p>
    <w:p>
      <w:pPr>
        <w:pStyle w:val="Heading2"/>
      </w:pPr>
      <w:r>
        <w:t>26 de julio - Bundles, administración semántica y recuperación</w:t>
      </w:r>
    </w:p>
    <w:p>
      <w:r>
        <w:rPr>
          <w:rFonts w:ascii="Calibri" w:hAnsi="Calibri"/>
          <w:i w:val="0"/>
          <w:color w:val="202A35"/>
          <w:sz w:val="22"/>
        </w:rP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r>
        <w:rPr>
          <w:rFonts w:ascii="Calibri" w:hAnsi="Calibri"/>
          <w:i w:val="0"/>
          <w:color w:val="202A35"/>
          <w:sz w:val="22"/>
        </w:rP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r>
        <w:rPr>
          <w:rFonts w:ascii="Calibri" w:hAnsi="Calibri"/>
          <w:i w:val="0"/>
          <w:color w:val="202A35"/>
          <w:sz w:val="22"/>
        </w:rP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pPr>
        <w:pStyle w:val="Heading2"/>
      </w:pPr>
      <w:r>
        <w:t>28 de julio - Administración asistida y ajustes recientes</w:t>
      </w:r>
    </w:p>
    <w:p>
      <w:r>
        <w:t>Se integraron snapshots de evaluación y manejo de consultas semánticas, se corrigió el estado vacío del panel de detalle y se resolvió un fallo al crear bundles: owner_id llegaba a MySQL como objeto Java serializado en vez de UUID textual.</w:t>
      </w:r>
    </w:p>
    <w:p>
      <w:pPr/>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pPr/>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pPr/>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pPr>
        <w:pStyle w:val="Heading1"/>
      </w:pPr>
      <w:r>
        <w:t>Problemas principales y soluciones aplicadas</w:t>
      </w:r>
    </w:p>
    <w:p>
      <w:pPr>
        <w:pStyle w:val="Heading2"/>
      </w:pPr>
      <w:r>
        <w:t>1. Docker y configuración distribuida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dentro de un contenedor, localhost apuntaba al propio servicio; además, los fallbacks y DSN duplicados hacían difícil detectar configuraciones incompletas.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hosts internos explícitos, construcción de URLs en código, variables obligatorias en .env/.env.example y dos Compose coordinados para desarrollo y GHCR.</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arranques reproducibles, fallos tempranos cuando falta configuración y menos divergencia entre servicios.</w:t>
      </w:r>
    </w:p>
    <w:p>
      <w:pPr>
        <w:pStyle w:val="Heading2"/>
      </w:pPr>
      <w:r>
        <w:t>2. Variabilidad de instaladores externos</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extensiones, MIME, redirecciones, CDN, GitHub, anti-bot y páginas dinámicas producen falsos negativos o falsos positivos.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resolución multi-estrategia, inspección de firmas, GET parcial con bytes crudos, Playwright, rutas específicas de GitHub, normalización de mirrors y atestación estricta de bloqueos.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más instaladores válidos sin rebajar el bloqueo SSRF ni aceptar HTML genérico.</w:t>
      </w:r>
    </w:p>
    <w:p>
      <w:pPr>
        <w:pStyle w:val="Heading2"/>
      </w:pPr>
      <w:r>
        <w:t>3. Colas atascadas y concurrencia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locks antiguos, leases incompletos, deadlocks al reclamar trabajo y backlogs grandes hacían parecer detenido el scraper.</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colas persistentes, SKIP LOCKED con reintentos, leases recuperables, backpressure, parada cooperativa y acciones administrativas de reparación.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el trabajo sobrevive a reinicios, los workers no mueren ante deadlocks transitorios y el operador puede recuperar el sistema sin borrar datos.</w:t>
      </w:r>
    </w:p>
    <w:p>
      <w:pPr>
        <w:pStyle w:val="Heading2"/>
      </w:pPr>
      <w:r>
        <w:t>4. Integridad y rendimiento de MySQL</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UUID binarios, JSON no serializable, SELECT DISTINCT sobre filas grandes, estadísticas lentas y clasificación divergente.</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tipos y saneado JSON, paginación por ID, consultas ligeras, proyección de catálogo con triggers y contadores singleton.</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menos errores StatementError y Out of sort memory; estados y totales coherentes en catálogo, bundles y descargas.</w:t>
      </w:r>
    </w:p>
    <w:p>
      <w:pPr>
        <w:pStyle w:val="Heading2"/>
      </w:pPr>
      <w:r>
        <w:t>5. URLs temporales y fallos de descarga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una URL caducada podía provocar el reintento del bundle completo y dejar la interfaz aparentemente bloqueada.</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revalidación JIT, errores por item, resultado PARTIAL, persistencia de jobs y ZIP en MinIO con entrega firmada.</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un proveedor defectuoso ya no invalida todas las aplicaciones del bundle.</w:t>
      </w:r>
    </w:p>
    <w:p>
      <w:pPr>
        <w:pStyle w:val="Heading2"/>
      </w:pPr>
      <w:r>
        <w:t>6. Estado y navegación de la interfaz</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rutas por nombre, saltos de layout, drawers vacíos, candidatos duplicados y selecciones fuera de página confundían al usuario.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UUID en URL, merge del detalle seleccionado, scroll interno estable, CSS modular, estados vacíos explícitos y candidatos derivados del bundle actual.</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navegación compartible, menos movimiento visual y editores que reflejan inmediatamente el estado real.</w:t>
      </w:r>
    </w:p>
    <w:p>
      <w:pPr>
        <w:pStyle w:val="Heading2"/>
      </w:pPr>
      <w:r>
        <w:t>7. Semántica pública del catálogo</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pending, review y missing llegaron a solaparse o a depender de frescura temporal.</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available/review/missing exhaustivos y disjuntos, MySQL como autoridad y pending solo para procesos internos.</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filtros, facetas, contadores y selección de fuentes comparten la misma definición.</w:t>
      </w:r>
    </w:p>
    <w:p>
      <w:pPr>
        <w:pStyle w:val="Heading2"/>
      </w:pPr>
      <w:r>
        <w:t>8. Coste de evaluación semántica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los benchmarks semánticos regeneraban snapshots y ejecutaban ranking literal inútil, consumiendo CPU durante horas.</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snapshots validados por semilla, catálogo y contentHash; include_lexical=False en evaluación semántica; operaciones con lease y progreso.</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se evita trabajo masivo redundante sin confundir un benchmark semántico con uno híbrido.</w:t>
      </w:r>
    </w:p>
    <w:p>
      <w:pPr>
        <w:pStyle w:val="Heading2"/>
      </w:pPr>
      <w:r>
        <w:t>9. Deriva entre código y memoria</w:t>
      </w:r>
    </w:p>
    <w:p>
      <w:pPr>
        <w:numPr>
          <w:ilvl w:val="0"/>
          <w:numId w:val="10"/>
        </w:numPr>
        <w:spacing w:after="160" w:line="280" w:lineRule="auto"/>
      </w:pPr>
      <w:r>
        <w:rPr>
          <w:rFonts w:ascii="Calibri" w:hAnsi="Calibri"/>
          <w:b/>
          <w:color w:val="202A35"/>
          <w:sz w:val="22"/>
        </w:rPr>
        <w:t>Problema:</w:t>
      </w:r>
      <w:r>
        <w:rPr>
          <w:rFonts w:ascii="Calibri" w:hAnsi="Calibri"/>
          <w:color w:val="202A35"/>
          <w:sz w:val="22"/>
        </w:rPr>
        <w:t xml:space="preserve"> decisiones y diagramas podían quedar desactualizados respecto a la arquitectura, y una edición de fuentes no garantizaba PDF final correcto.</w:t>
      </w:r>
    </w:p>
    <w:p>
      <w:pPr>
        <w:numPr>
          <w:ilvl w:val="0"/>
          <w:numId w:val="10"/>
        </w:numPr>
        <w:spacing w:after="160" w:line="280" w:lineRule="auto"/>
      </w:pPr>
      <w:r>
        <w:rPr>
          <w:rFonts w:ascii="Calibri" w:hAnsi="Calibri"/>
          <w:b/>
          <w:color w:val="202A35"/>
          <w:sz w:val="22"/>
        </w:rPr>
        <w:t>Solución:</w:t>
      </w:r>
      <w:r>
        <w:rPr>
          <w:rFonts w:ascii="Calibri" w:hAnsi="Calibri"/>
          <w:color w:val="202A35"/>
          <w:sz w:val="22"/>
        </w:rPr>
        <w:t xml:space="preserve"> actualización coordinada de memoria, anexos, diagramas, README e instrucciones de agentes, más compilación y revisión visual cuando estuvo disponible.</w:t>
      </w:r>
    </w:p>
    <w:p>
      <w:pPr>
        <w:numPr>
          <w:ilvl w:val="0"/>
          <w:numId w:val="10"/>
        </w:numPr>
        <w:spacing w:after="160" w:line="280" w:lineRule="auto"/>
      </w:pPr>
      <w:r>
        <w:rPr>
          <w:rFonts w:ascii="Calibri" w:hAnsi="Calibri"/>
          <w:b/>
          <w:color w:val="202A35"/>
          <w:sz w:val="22"/>
        </w:rPr>
        <w:t>Impacto:</w:t>
      </w:r>
      <w:r>
        <w:rPr>
          <w:rFonts w:ascii="Calibri" w:hAnsi="Calibri"/>
          <w:color w:val="202A35"/>
          <w:sz w:val="22"/>
        </w:rPr>
        <w:t xml:space="preserve"> la documentación refleja mucho mejor el sistema real, aunque sigue existiendo un pendiente de sincronización final tras los últimos cambios semánticos.</w:t>
      </w:r>
    </w:p>
    <w:p>
      <w:pPr>
        <w:pStyle w:val="Heading2"/>
      </w:pPr>
      <w:r>
        <w:t>10. Alta y resolución manual seguras</w:t>
      </w:r>
    </w:p>
    <w:p>
      <w:pPr/>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pPr/>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pPr/>
      <w:r>
        <w:rPr>
          <w:b/>
        </w:rPr>
        <w:t xml:space="preserve">Impacto: </w:t>
      </w:r>
      <w:r>
        <w:t>la administración puede recuperar aplicaciones review/missing y crear altas desde una web oficial sin exponer URL ejecutables ni rebajar las garantías SSRF. Las respuestas tardías ya no repueblan una alta nueva.</w:t>
      </w:r>
    </w:p>
    <w:p>
      <w:pPr>
        <w:pStyle w:val="Heading1"/>
      </w:pPr>
      <w:r>
        <w:t>Evolución de la arquitectura</w:t>
      </w:r>
    </w:p>
    <w:p>
      <w:r>
        <w:rPr>
          <w:rFonts w:ascii="Calibri" w:hAnsi="Calibri"/>
          <w:i w:val="0"/>
          <w:color w:val="202A35"/>
          <w:sz w:val="22"/>
        </w:rP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pPr>
        <w:numPr>
          <w:ilvl w:val="0"/>
          <w:numId w:val="11"/>
        </w:numPr>
        <w:spacing w:after="160" w:line="280" w:lineRule="auto"/>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pPr>
        <w:numPr>
          <w:ilvl w:val="0"/>
          <w:numId w:val="11"/>
        </w:numPr>
        <w:spacing w:after="160" w:line="280" w:lineRule="auto"/>
      </w:pPr>
      <w:r>
        <w:rPr>
          <w:rFonts w:ascii="Calibri" w:hAnsi="Calibri"/>
          <w:color w:val="202A35"/>
          <w:sz w:val="22"/>
        </w:rPr>
        <w:t>MySQL mantiene aplicaciones, fuentes, estados, facetas, contadores y paginación autoritativos.</w:t>
      </w:r>
    </w:p>
    <w:p>
      <w:pPr>
        <w:numPr>
          <w:ilvl w:val="0"/>
          <w:numId w:val="11"/>
        </w:numPr>
        <w:spacing w:after="160" w:line="280" w:lineRule="auto"/>
      </w:pPr>
      <w:r>
        <w:rPr>
          <w:rFonts w:ascii="Calibri" w:hAnsi="Calibri"/>
          <w:color w:val="202A35"/>
          <w:sz w:val="22"/>
        </w:rPr>
        <w:t>Core crea jobs e items, publica eventos mediante outbox y entrega estado por API/SSE.</w:t>
      </w:r>
    </w:p>
    <w:p>
      <w:pPr>
        <w:numPr>
          <w:ilvl w:val="0"/>
          <w:numId w:val="11"/>
        </w:numPr>
        <w:spacing w:after="160" w:line="280" w:lineRule="auto"/>
      </w:pPr>
      <w:r>
        <w:rPr>
          <w:rFonts w:ascii="Calibri" w:hAnsi="Calibri"/>
          <w:color w:val="202A35"/>
          <w:sz w:val="22"/>
        </w:rPr>
        <w:t>RabbitMQ transporta identificadores; download-worker resuelve la fuente actual, descarga y genera el ZIP.</w:t>
      </w:r>
    </w:p>
    <w:p>
      <w:pPr>
        <w:numPr>
          <w:ilvl w:val="0"/>
          <w:numId w:val="11"/>
        </w:numPr>
        <w:spacing w:after="160" w:line="280" w:lineRule="auto"/>
      </w:pPr>
      <w:r>
        <w:rPr>
          <w:rFonts w:ascii="Calibri" w:hAnsi="Calibri"/>
          <w:color w:val="202A35"/>
          <w:sz w:val="22"/>
        </w:rPr>
        <w:t>MinIO conserva ZIP, manifiestos y artefactos temporales; Core devuelve una redirección firmada válida para el navegador.</w:t>
      </w:r>
    </w:p>
    <w:p>
      <w:pPr>
        <w:numPr>
          <w:ilvl w:val="0"/>
          <w:numId w:val="11"/>
        </w:numPr>
        <w:spacing w:after="160" w:line="280" w:lineRule="auto"/>
      </w:pPr>
      <w:r>
        <w:rPr>
          <w:rFonts w:ascii="Calibri" w:hAnsi="Calibri"/>
          <w:color w:val="202A35"/>
          <w:sz w:val="22"/>
        </w:rPr>
        <w:t>PostgreSQL/pgvector almacena la proyección semántica reconstruible; MySQL sigue aplicando las reglas públicas.</w:t>
      </w:r>
    </w:p>
    <w:p>
      <w:pPr>
        <w:numPr>
          <w:ilvl w:val="0"/>
          <w:numId w:val="11"/>
        </w:numPr>
        <w:spacing w:after="160" w:line="280" w:lineRule="auto"/>
      </w:pPr>
      <w:r>
        <w:rPr>
          <w:rFonts w:ascii="Calibri" w:hAnsi="Calibri"/>
          <w:color w:val="202A35"/>
          <w:sz w:val="22"/>
        </w:rPr>
        <w:t>semantic-model-worker serializa operaciones pesadas de modelos con leases, idempotencia y cancelación cooperativa.</w:t>
      </w:r>
    </w:p>
    <w:p>
      <w:pPr>
        <w:pStyle w:val="Heading1"/>
      </w:pPr>
      <w:r>
        <w:t>Estado actual al 29 de julio de 2026</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50"/>
        <w:gridCol w:w="1250"/>
        <w:gridCol w:w="3250"/>
        <w:gridCol w:w="3610"/>
      </w:tblGrid>
      <w:tr>
        <w:trPr>
          <w:tblHeader w:val="true"/>
        </w:trPr>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Área</w:t>
            </w:r>
          </w:p>
        </w:tc>
        <w:tc>
          <w:tcPr>
            <w:tcW w:type="dxa" w:w="1250"/>
            <w:tcMar>
              <w:top w:w="80" w:type="dxa"/>
              <w:start w:w="120" w:type="dxa"/>
              <w:bottom w:w="80" w:type="dxa"/>
              <w:end w:w="120" w:type="dxa"/>
            </w:tcMar>
            <w:vAlign w:val="center"/>
            <w:shd w:fill="E8EEF5" w:val="clear"/>
          </w:tcPr>
          <w:p>
            <w:pPr>
              <w:spacing w:after="0"/>
            </w:pPr>
            <w:r>
              <w:rPr>
                <w:rFonts w:ascii="Calibri" w:hAnsi="Calibri"/>
                <w:b/>
                <w:color w:val="123A63"/>
                <w:sz w:val="17"/>
              </w:rPr>
              <w:t>Situación</w:t>
            </w:r>
          </w:p>
        </w:tc>
        <w:tc>
          <w:tcPr>
            <w:tcW w:type="dxa" w:w="3250"/>
            <w:tcMar>
              <w:top w:w="80" w:type="dxa"/>
              <w:start w:w="120" w:type="dxa"/>
              <w:bottom w:w="80" w:type="dxa"/>
              <w:end w:w="120" w:type="dxa"/>
            </w:tcMar>
            <w:vAlign w:val="center"/>
            <w:shd w:fill="E8EEF5" w:val="clear"/>
          </w:tcPr>
          <w:p>
            <w:pPr>
              <w:spacing w:after="0"/>
            </w:pPr>
            <w:r>
              <w:rPr>
                <w:rFonts w:ascii="Calibri" w:hAnsi="Calibri"/>
                <w:b/>
                <w:color w:val="123A63"/>
                <w:sz w:val="17"/>
              </w:rPr>
              <w:t>Evidencia</w:t>
            </w:r>
          </w:p>
        </w:tc>
        <w:tc>
          <w:tcPr>
            <w:tcW w:type="dxa" w:w="3610"/>
            <w:tcMar>
              <w:top w:w="80" w:type="dxa"/>
              <w:start w:w="120" w:type="dxa"/>
              <w:bottom w:w="80" w:type="dxa"/>
              <w:end w:w="120" w:type="dxa"/>
            </w:tcMar>
            <w:vAlign w:val="center"/>
            <w:shd w:fill="E8EEF5" w:val="clear"/>
          </w:tcPr>
          <w:p>
            <w:pPr>
              <w:spacing w:after="0"/>
            </w:pPr>
            <w:r>
              <w:rPr>
                <w:rFonts w:ascii="Calibri" w:hAnsi="Calibri"/>
                <w:b/>
                <w:color w:val="123A63"/>
                <w:sz w:val="17"/>
              </w:rPr>
              <w:t>Atención pendiente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Repositorio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development, HEAD 814f0e8, 111 commits visibles y estado versionado limpio antes de editar este informe.</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Mantener entregas documentales coordinadas con el código.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Despliegue</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Confirmado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docker-compose.yml y docker-compose.ghcr.yml; 16 servicios en el Compose normal.</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Comprobar publicación/visibilidad GHCR en cada release.</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Scraper</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Operativo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Pipeline persistente, validación multi-estrategia, resolución manual, alta desde web oficial, leases, reintentos y controles admin.</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Reconstruir y verificar en despliegue las migraciones 0012-0015 y los nuevos flujos.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Catálogo</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available/review/missing, contadores proyectados, filtros, facetas y URLs por UUID.</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Preservar las invariantes al tocar migraciones o contratos.</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Descargas</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Consolidado</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Jobs asíncronos, revalidación JIT, resultados PARTIAL, ZIP en MinIO y cancelación.</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La fase de empaquetado grande aún puede parecer sin progreso incremental.</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Semántica</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Integrada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E5-base zero-shot activo; modelos y administración disponibles.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Benchmark full final y elegible todavía no confirmado; no hay ganador promovido.</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Documentación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Avanzada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Memoria, anexos, diagramas, README, contratos e instrucciones actualizados en distinto grado; README y Copilot ya recogen los flujos administrativos nuevos.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LaTeX aún conserva semántica híbrida/RRF y no refleja la pantalla de modelos ni la nueva administración; los PDF requieren reconstrucción conjunta.</w:t>
            </w:r>
          </w:p>
        </w:tc>
      </w:tr>
      <w:tr>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Gestión</w:t>
            </w:r>
          </w:p>
        </w:tc>
        <w:tc>
          <w:tcPr>
            <w:tcW w:type="dxa" w:w="1250"/>
            <w:tcMar>
              <w:top w:w="80" w:type="dxa"/>
              <w:start w:w="120" w:type="dxa"/>
              <w:bottom w:w="80" w:type="dxa"/>
              <w:end w:w="120" w:type="dxa"/>
            </w:tcMar>
            <w:vAlign w:val="center"/>
          </w:tcPr>
          <w:p>
            <w:pPr>
              <w:spacing w:after="0" w:line="252" w:lineRule="auto"/>
            </w:pPr>
            <w:r>
              <w:rPr>
                <w:rFonts w:ascii="Calibri" w:hAnsi="Calibri"/>
                <w:color w:val="202A35"/>
                <w:sz w:val="17"/>
              </w:rPr>
              <w:t>Estructurada</w:t>
            </w:r>
          </w:p>
        </w:tc>
        <w:tc>
          <w:tcPr>
            <w:tcW w:type="dxa" w:w="3250"/>
            <w:tcMar>
              <w:top w:w="80" w:type="dxa"/>
              <w:start w:w="120" w:type="dxa"/>
              <w:bottom w:w="80" w:type="dxa"/>
              <w:end w:w="120" w:type="dxa"/>
            </w:tcMar>
            <w:vAlign w:val="center"/>
          </w:tcPr>
          <w:p>
            <w:pPr>
              <w:spacing w:after="0" w:line="252" w:lineRule="auto"/>
            </w:pPr>
            <w:r>
              <w:rPr>
                <w:rFonts w:ascii="Calibri" w:hAnsi="Calibri"/>
                <w:color w:val="202A35"/>
                <w:sz w:val="17"/>
              </w:rPr>
              <w:t>48 issues, cinco milestones, etiquetas por área y complejidad en GitHub Projects.</w:t>
            </w:r>
          </w:p>
        </w:tc>
        <w:tc>
          <w:tcPr>
            <w:tcW w:type="dxa" w:w="3610"/>
            <w:tcMar>
              <w:top w:w="80" w:type="dxa"/>
              <w:start w:w="120" w:type="dxa"/>
              <w:bottom w:w="80" w:type="dxa"/>
              <w:end w:w="120" w:type="dxa"/>
            </w:tcMar>
            <w:vAlign w:val="center"/>
          </w:tcPr>
          <w:p>
            <w:pPr>
              <w:spacing w:after="0" w:line="252" w:lineRule="auto"/>
            </w:pPr>
            <w:r>
              <w:rPr>
                <w:rFonts w:ascii="Calibri" w:hAnsi="Calibri"/>
                <w:color w:val="202A35"/>
                <w:sz w:val="17"/>
              </w:rPr>
              <w:t>Revisar periódicamente que requisitos y estado del proyecto sigan alineados.</w:t>
            </w:r>
          </w:p>
        </w:tc>
      </w:tr>
    </w:tbl>
    <w:p>
      <w:pPr>
        <w:spacing w:before="80" w:after="80"/>
      </w:pPr>
    </w:p>
    <w:p>
      <w:pPr>
        <w:pStyle w:val="Heading1"/>
      </w:pPr>
      <w:r>
        <w:t>Pendientes y riesgos abiertos</w:t>
      </w:r>
    </w:p>
    <w:p>
      <w:pPr>
        <w:numPr>
          <w:ilvl w:val="0"/>
          <w:numId w:val="10"/>
        </w:numPr>
        <w:spacing w:after="160" w:line="280" w:lineRule="auto"/>
      </w:pPr>
      <w:r>
        <w:rPr>
          <w:rFonts w:ascii="Calibri" w:hAnsi="Calibri"/>
          <w:color w:val="202A35"/>
          <w:sz w:val="22"/>
        </w:rPr>
        <w:t>Completar una evaluación semántica full con métricas finales elegibles de calidad, latencia y memoria antes de recomendar o promover un modelo.</w:t>
      </w:r>
    </w:p>
    <w:p>
      <w:pPr>
        <w:numPr>
          <w:ilvl w:val="0"/>
          <w:numId w:val="10"/>
        </w:numPr>
        <w:spacing w:after="160" w:line="280" w:lineRule="auto"/>
      </w:pPr>
      <w:r>
        <w:t>Actualizar las fuentes LaTeX que aún describen búsqueda híbrida/RRF y ausencia de pantalla administrativa de modelos, incorporar los nuevos flujos de alta/resolución y después recompilar y revisar visualmente memoria.pdf y anexos.pdf. Los PDF actuales siguen fechados el 23 y el 21 de julio, respectivamente.</w:t>
      </w:r>
    </w:p>
    <w:p>
      <w:pPr>
        <w:numPr>
          <w:ilvl w:val="0"/>
          <w:numId w:val="10"/>
        </w:numPr>
        <w:spacing w:after="160" w:line="280" w:lineRule="auto"/>
      </w:pPr>
      <w:r>
        <w:t>Reconstruir el despliegue y verificar manualmente las migraciones 0012-0015 y los flujos administrativos de resolución multinstalador y alta desde web oficial; el código y las pruebas están confirmados, pero la conversación no arrancó ni reinició la aplicación completa.</w:t>
      </w:r>
    </w:p>
    <w:p>
      <w:pPr>
        <w:numPr>
          <w:ilvl w:val="0"/>
          <w:numId w:val="10"/>
        </w:numPr>
        <w:spacing w:after="160" w:line="280" w:lineRule="auto"/>
      </w:pPr>
      <w:r>
        <w:rPr>
          <w:rFonts w:ascii="Calibri" w:hAnsi="Calibri"/>
          <w:color w:val="202A35"/>
          <w:sz w:val="22"/>
        </w:rPr>
        <w:t>Añadir o exponer progreso incremental durante empaquetados/subidas grandes para reducir la percepción de bloqueo en bundles voluminosos.</w:t>
      </w:r>
    </w:p>
    <w:p>
      <w:pPr>
        <w:numPr>
          <w:ilvl w:val="0"/>
          <w:numId w:val="10"/>
        </w:numPr>
        <w:spacing w:after="160" w:line="280" w:lineRule="auto"/>
      </w:pPr>
      <w:r>
        <w:rPr>
          <w:rFonts w:ascii="Calibri" w:hAnsi="Calibri"/>
          <w:color w:val="202A35"/>
          <w:sz w:val="22"/>
        </w:rPr>
        <w:t>Mantener la revalidación de proveedores y la clasificación de fallos externos: 403, 404, DNS, SSO o retiradas reales no deben convertirse automáticamente en excepciones permisivas.</w:t>
      </w:r>
    </w:p>
    <w:p>
      <w:pPr>
        <w:numPr>
          <w:ilvl w:val="0"/>
          <w:numId w:val="10"/>
        </w:numPr>
        <w:spacing w:after="160" w:line="280" w:lineRule="auto"/>
      </w:pPr>
      <w:r>
        <w:rPr>
          <w:rFonts w:ascii="Calibri" w:hAnsi="Calibri"/>
          <w:color w:val="202A35"/>
          <w:sz w:val="22"/>
        </w:rPr>
        <w:t>Conservar sincronizados Core, Alembic, OpenAPI, TypeScript, traducciones y pruebas cuando cambien estados, fuentes o contratos.</w:t>
      </w:r>
    </w:p>
    <w:p>
      <w:pPr>
        <w:numPr>
          <w:ilvl w:val="0"/>
          <w:numId w:val="10"/>
        </w:numPr>
        <w:spacing w:after="160" w:line="280" w:lineRule="auto"/>
      </w:pPr>
      <w:r>
        <w:rPr>
          <w:rFonts w:ascii="Calibri" w:hAnsi="Calibri"/>
          <w:color w:val="202A35"/>
          <w:sz w:val="22"/>
        </w:rPr>
        <w:t>Seguir verificando en despliegue los cambios visuales que las pruebas unitarias no pueden demostrar por sí solas.</w:t>
      </w:r>
    </w:p>
    <w:p>
      <w:pPr>
        <w:pStyle w:val="Heading1"/>
      </w:pPr>
      <w:r>
        <w:t>Lecciones consolidadas</w:t>
      </w:r>
    </w:p>
    <w:p>
      <w:pPr>
        <w:numPr>
          <w:ilvl w:val="0"/>
          <w:numId w:val="10"/>
        </w:numPr>
        <w:spacing w:after="160" w:line="280" w:lineRule="auto"/>
      </w:pPr>
      <w:r>
        <w:rPr>
          <w:rFonts w:ascii="Calibri" w:hAnsi="Calibri"/>
          <w:color w:val="202A35"/>
          <w:sz w:val="22"/>
        </w:rPr>
        <w:t>La autoridad de los datos importa: MySQL decide estados y filtros; pgvector solo ordena semánticamente una proyección reconstruible.</w:t>
      </w:r>
    </w:p>
    <w:p>
      <w:pPr>
        <w:numPr>
          <w:ilvl w:val="0"/>
          <w:numId w:val="10"/>
        </w:numPr>
        <w:spacing w:after="160" w:line="280" w:lineRule="auto"/>
      </w:pPr>
      <w:r>
        <w:rPr>
          <w:rFonts w:ascii="Calibri" w:hAnsi="Calibri"/>
          <w:color w:val="202A35"/>
          <w:sz w:val="22"/>
        </w:rPr>
        <w:t>Una URL guardada no es una garantía de descarga futura; la revalidación debe ocurrir justo antes de usarla.</w:t>
      </w:r>
    </w:p>
    <w:p>
      <w:pPr>
        <w:numPr>
          <w:ilvl w:val="0"/>
          <w:numId w:val="10"/>
        </w:numPr>
        <w:spacing w:after="160" w:line="280" w:lineRule="auto"/>
      </w:pPr>
      <w:r>
        <w:rPr>
          <w:rFonts w:ascii="Calibri" w:hAnsi="Calibri"/>
          <w:color w:val="202A35"/>
          <w:sz w:val="22"/>
        </w:rPr>
        <w:t>Un fallo individual debe degradar un job, no reiniciar o bloquear todo el lote.</w:t>
      </w:r>
    </w:p>
    <w:p>
      <w:pPr>
        <w:numPr>
          <w:ilvl w:val="0"/>
          <w:numId w:val="10"/>
        </w:numPr>
        <w:spacing w:after="160" w:line="280" w:lineRule="auto"/>
      </w:pPr>
      <w:r>
        <w:rPr>
          <w:rFonts w:ascii="Calibri" w:hAnsi="Calibri"/>
          <w:color w:val="202A35"/>
          <w:sz w:val="22"/>
        </w:rPr>
        <w:t>La durabilidad operativa requiere leases, idempotencia, reintentos y herramientas de recuperación visibles para administración.</w:t>
      </w:r>
    </w:p>
    <w:p>
      <w:pPr>
        <w:numPr>
          <w:ilvl w:val="0"/>
          <w:numId w:val="10"/>
        </w:numPr>
        <w:spacing w:after="160" w:line="280" w:lineRule="auto"/>
      </w:pPr>
      <w:r>
        <w:rPr>
          <w:rFonts w:ascii="Calibri" w:hAnsi="Calibri"/>
          <w:color w:val="202A35"/>
          <w:sz w:val="22"/>
        </w:rPr>
        <w:t>Las fuentes web deben validarse por contenido y contexto, no solo por extensión o cabecera MIME.</w:t>
      </w:r>
    </w:p>
    <w:p>
      <w:pPr>
        <w:numPr>
          <w:ilvl w:val="0"/>
          <w:numId w:val="10"/>
        </w:numPr>
        <w:spacing w:after="160" w:line="280" w:lineRule="auto"/>
      </w:pPr>
      <w:r>
        <w:rPr>
          <w:rFonts w:ascii="Calibri" w:hAnsi="Calibri"/>
          <w:color w:val="202A35"/>
          <w:sz w:val="22"/>
        </w:rPr>
        <w:t>Las pruebas focalizadas y los contratos coordinados son más valiosos que afirmar que la aplicación completa funciona sin evidencia.</w:t>
      </w:r>
    </w:p>
    <w:p>
      <w:pPr>
        <w:numPr>
          <w:ilvl w:val="0"/>
          <w:numId w:val="10"/>
        </w:numPr>
        <w:spacing w:after="160" w:line="280" w:lineRule="auto"/>
      </w:pPr>
      <w:r>
        <w:rPr>
          <w:rFonts w:ascii="Calibri" w:hAnsi="Calibri"/>
          <w:color w:val="202A35"/>
          <w:sz w:val="22"/>
        </w:rPr>
        <w:t>La documentación final es un artefacto construido: editar LaTeX no equivale a haber verificado los PDF.</w:t>
      </w:r>
    </w:p>
    <w:p>
      <w:pPr>
        <w:numPr>
          <w:ilvl w:val="0"/>
          <w:numId w:val="10"/>
        </w:numPr>
        <w:spacing w:after="160" w:line="280" w:lineRule="auto"/>
      </w:pPr>
      <w:r>
        <w:rPr>
          <w:rFonts w:ascii="Calibri" w:hAnsi="Calibri"/>
          <w:color w:val="202A35"/>
          <w:sz w:val="22"/>
        </w:rPr>
        <w:t>Los benchmarks deben respetar el modo que miden; añadir ranking literal a una evaluación semántica distorsiona coste y significado.</w:t>
      </w:r>
    </w:p>
    <w:p>
      <w:pPr>
        <w:pStyle w:val="Heading1"/>
      </w:pPr>
      <w:r>
        <w:t>Apéndice A. Conversaciones recuperadas</w:t>
      </w:r>
    </w:p>
    <w:p>
      <w:r>
        <w:rPr>
          <w:rFonts w:ascii="Calibri" w:hAnsi="Calibri"/>
          <w:i w:val="0"/>
          <w:color w:val="202A35"/>
          <w:sz w:val="22"/>
        </w:rPr>
        <w:t>Las siguientes tareas fueron tratadas como fuentes primarias del relato. Los títulos y resúmenes se contrastaron con los mensajes finales, las fechas y el historial Git.</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1200"/>
        <w:gridCol w:w="4200"/>
        <w:gridCol w:w="3960"/>
      </w:tblGrid>
      <w:tr>
        <w:trPr>
          <w:tblHeader w:val="true"/>
        </w:trPr>
        <w:tc>
          <w:tcPr>
            <w:tcW w:type="dxa" w:w="1200"/>
            <w:tcMar>
              <w:top w:w="80" w:type="dxa"/>
              <w:start w:w="120" w:type="dxa"/>
              <w:bottom w:w="80" w:type="dxa"/>
              <w:end w:w="120" w:type="dxa"/>
            </w:tcMar>
            <w:vAlign w:val="center"/>
            <w:shd w:fill="E8EEF5" w:val="clear"/>
          </w:tcPr>
          <w:p>
            <w:pPr>
              <w:spacing w:after="0"/>
            </w:pPr>
            <w:r>
              <w:rPr>
                <w:rFonts w:ascii="Calibri" w:hAnsi="Calibri"/>
                <w:b/>
                <w:color w:val="123A63"/>
                <w:sz w:val="17"/>
              </w:rPr>
              <w:t>Fecha</w:t>
            </w:r>
          </w:p>
        </w:tc>
        <w:tc>
          <w:tcPr>
            <w:tcW w:type="dxa" w:w="4200"/>
            <w:tcMar>
              <w:top w:w="80" w:type="dxa"/>
              <w:start w:w="120" w:type="dxa"/>
              <w:bottom w:w="80" w:type="dxa"/>
              <w:end w:w="120" w:type="dxa"/>
            </w:tcMar>
            <w:vAlign w:val="center"/>
            <w:shd w:fill="E8EEF5" w:val="clear"/>
          </w:tcPr>
          <w:p>
            <w:pPr>
              <w:spacing w:after="0"/>
            </w:pPr>
            <w:r>
              <w:rPr>
                <w:rFonts w:ascii="Calibri" w:hAnsi="Calibri"/>
                <w:b/>
                <w:color w:val="123A63"/>
                <w:sz w:val="17"/>
              </w:rPr>
              <w:t>Conversación</w:t>
            </w:r>
          </w:p>
        </w:tc>
        <w:tc>
          <w:tcPr>
            <w:tcW w:type="dxa" w:w="3960"/>
            <w:tcMar>
              <w:top w:w="80" w:type="dxa"/>
              <w:start w:w="120" w:type="dxa"/>
              <w:bottom w:w="80" w:type="dxa"/>
              <w:end w:w="120" w:type="dxa"/>
            </w:tcMar>
            <w:vAlign w:val="center"/>
            <w:shd w:fill="E8EEF5" w:val="clear"/>
          </w:tcPr>
          <w:p>
            <w:pPr>
              <w:spacing w:after="0"/>
            </w:pPr>
            <w:r>
              <w:rPr>
                <w:rFonts w:ascii="Calibri" w:hAnsi="Calibri"/>
                <w:b/>
                <w:color w:val="123A63"/>
                <w:sz w:val="17"/>
              </w:rPr>
              <w:t>Identificador de tarea</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Reescribir objetivos en puntos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019ed9d5-c9c5-7bc1-8a00-09f3ae986184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Adaptar propuesta a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019eda06-a265-7ec0-b03d-6d54499939e0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Localiza acrónimos del proyecto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019edb72-5d67-7370-8005-a21a17e551e7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trabajos relacionados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019ee598-8cb9-7c62-825e-338ab5f50077</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Crear issues con labels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019ee5ad-6d01-76a3-b11c-9a87758014cc</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Quitar columna de descripción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019ef388-96d8-7212-8e27-df9fb24d32f3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jun-10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Crea scraper y frontend</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019f0307-6fc4-78a3-98b0-cbb139a16c04</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30 jun</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Analiza solo programas nuevos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019f185b-10af-70a2-82cc-80bde64f8e7d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Arreglar catálogo y descargas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019f1d85-aeb4-79b1-b197-25ba6b365f90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Mueve estilos a carpeta css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019f3c3a-9a0a-7981-b34d-e09ff2154873</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7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Refactoriza scraper de Winstall</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019f3c5a-7dfc-7812-96c1-4c802afc0a86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compatibilidad con ghcr.io</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019f4120-adf8-74f1-ade0-aa4a13284e46</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11-16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Plan refactor scraper y servicios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019f50d9-0e3f-7170-8da5-5e6e70db6c20</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18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Corrige la web y memoria LaTeX</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019f745e-208b-7362-ac44-f2157b8ceae5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23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Añade búsqueda semántica</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019f8fd9-ada8-7192-8643-2a7c8e8dcc8d</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26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bundle Launchers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019f9daa-5a23-78d0-94ad-7d7cca5294b5</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Revisar selector de aplicación</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019fa7f3-20ff-7cf0-9ff5-71bd50ab5631</w:t>
            </w:r>
          </w:p>
        </w:tc>
      </w:tr>
      <w:tr>
        <w:tc>
          <w:tcPr>
            <w:tcW w:type="dxa" w:w="1200"/>
            <w:tcMar>
              <w:top w:w="80" w:type="dxa"/>
              <w:start w:w="120" w:type="dxa"/>
              <w:bottom w:w="80" w:type="dxa"/>
              <w:end w:w="120" w:type="dxa"/>
            </w:tcMar>
            <w:vAlign w:val="center"/>
          </w:tcPr>
          <w:p>
            <w:pPr>
              <w:spacing w:after="0" w:line="252" w:lineRule="auto"/>
            </w:pPr>
            <w:r>
              <w:rPr>
                <w:rFonts w:ascii="Calibri" w:hAnsi="Calibri"/>
                <w:color w:val="202A35"/>
                <w:sz w:val="17"/>
              </w:rPr>
              <w:t>28 jul</w:t>
            </w:r>
          </w:p>
        </w:tc>
        <w:tc>
          <w:tcPr>
            <w:tcW w:type="dxa" w:w="4200"/>
            <w:tcMar>
              <w:top w:w="80" w:type="dxa"/>
              <w:start w:w="120" w:type="dxa"/>
              <w:bottom w:w="80" w:type="dxa"/>
              <w:end w:w="120" w:type="dxa"/>
            </w:tcMar>
            <w:vAlign w:val="center"/>
          </w:tcPr>
          <w:p>
            <w:pPr>
              <w:spacing w:after="0" w:line="252" w:lineRule="auto"/>
            </w:pPr>
            <w:r>
              <w:rPr>
                <w:rFonts w:ascii="Calibri" w:hAnsi="Calibri"/>
                <w:color w:val="202A35"/>
                <w:sz w:val="17"/>
              </w:rPr>
              <w:t>Mejora edición manual de apps</w:t>
            </w:r>
          </w:p>
        </w:tc>
        <w:tc>
          <w:tcPr>
            <w:tcW w:type="dxa" w:w="3960"/>
            <w:tcMar>
              <w:top w:w="80" w:type="dxa"/>
              <w:start w:w="120" w:type="dxa"/>
              <w:bottom w:w="80" w:type="dxa"/>
              <w:end w:w="120" w:type="dxa"/>
            </w:tcMar>
            <w:vAlign w:val="center"/>
          </w:tcPr>
          <w:p>
            <w:pPr>
              <w:spacing w:after="0" w:line="252" w:lineRule="auto"/>
            </w:pPr>
            <w:r>
              <w:rPr>
                <w:rFonts w:ascii="Calibri" w:hAnsi="Calibri"/>
                <w:color w:val="202A35"/>
                <w:sz w:val="17"/>
              </w:rPr>
              <w:t>019fa81c-b869-7813-9591-4ae4ac4522e3</w:t>
            </w:r>
          </w:p>
        </w:tc>
      </w:tr>
    </w:tbl>
    <w:p>
      <w:pPr>
        <w:spacing w:before="80" w:after="80"/>
      </w:pPr>
    </w:p>
    <w:p>
      <w:pPr>
        <w:pStyle w:val="Heading1"/>
      </w:pPr>
      <w:r>
        <w:t>Apéndice B. Evidencia complementaria</w:t>
      </w:r>
    </w:p>
    <w:tbl>
      <w:tblPr>
        <w:tblW w:type="dxa" w:w="9360"/>
        <w:jc w:val="left"/>
        <w:tblLayout w:type="fixed"/>
        <w:tblLook w:firstColumn="1" w:firstRow="1" w:lastColumn="0" w:lastRow="0" w:noHBand="0" w:noVBand="1" w:val="04A0"/>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Pr>
      <w:tblGrid>
        <w:gridCol w:w="2200"/>
        <w:gridCol w:w="7160"/>
      </w:tblGrid>
      <w:tr>
        <w:trPr>
          <w:tblHeader w:val="true"/>
        </w:trPr>
        <w:tc>
          <w:tcPr>
            <w:tcW w:type="dxa" w:w="2200"/>
            <w:tcMar>
              <w:top w:w="80" w:type="dxa"/>
              <w:start w:w="120" w:type="dxa"/>
              <w:bottom w:w="80" w:type="dxa"/>
              <w:end w:w="120" w:type="dxa"/>
            </w:tcMar>
            <w:vAlign w:val="center"/>
            <w:shd w:fill="E8EEF5" w:val="clear"/>
          </w:tcPr>
          <w:p>
            <w:pPr>
              <w:spacing w:after="0"/>
            </w:pPr>
            <w:r>
              <w:rPr>
                <w:rFonts w:ascii="Calibri" w:hAnsi="Calibri"/>
                <w:b/>
                <w:color w:val="123A63"/>
                <w:sz w:val="18"/>
              </w:rPr>
              <w:t>Fuente</w:t>
            </w:r>
          </w:p>
        </w:tc>
        <w:tc>
          <w:tcPr>
            <w:tcW w:type="dxa" w:w="7160"/>
            <w:tcMar>
              <w:top w:w="80" w:type="dxa"/>
              <w:start w:w="120" w:type="dxa"/>
              <w:bottom w:w="80" w:type="dxa"/>
              <w:end w:w="120" w:type="dxa"/>
            </w:tcMar>
            <w:vAlign w:val="center"/>
            <w:shd w:fill="E8EEF5" w:val="clear"/>
          </w:tcPr>
          <w:p>
            <w:pPr>
              <w:spacing w:after="0"/>
            </w:pPr>
            <w:r>
              <w:rPr>
                <w:rFonts w:ascii="Calibri" w:hAnsi="Calibri"/>
                <w:b/>
                <w:color w:val="123A63"/>
                <w:sz w:val="18"/>
              </w:rPr>
              <w:t>Uso en el informe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 local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111 commits visibles entre 16 de junio y 28 de julio; HEAD 814f0e8; rama development; estado versionado limpio antes de editar el informe.</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README.md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Describe Compose local/GHCR, búsqueda lexical|semantic, administración de modelos, CPython 3.14t, banco de resolución manual y alta desde web oficial.</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.github/copilot-instructions.md</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Consolida propietarios de datos, pipeline actual, contratos, seguridad, estados públicos, reglas de promoción semántica y garantías de los dos nuevos flujos administrativos.</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docker-compose.yml</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docker compose config --services volvió a enumerar 16 servicios tanto en la configuración local como en GHCR.</w:t>
            </w:r>
          </w:p>
        </w:tc>
      </w:tr>
      <w:tr>
        <w:tc>
          <w:tcPr>
            <w:tcW w:type="dxa" w:w="2200"/>
            <w:tcMar>
              <w:top w:w="80" w:type="dxa"/>
              <w:start w:w="120" w:type="dxa"/>
              <w:bottom w:w="80" w:type="dxa"/>
              <w:end w:w="120" w:type="dxa"/>
            </w:tcMar>
            <w:vAlign w:val="center"/>
          </w:tcPr>
          <w:p>
            <w:pPr>
              <w:spacing w:after="0" w:line="252" w:lineRule="auto"/>
            </w:pPr>
            <w:r>
              <w:rPr>
                <w:rFonts w:ascii="Calibri" w:hAnsi="Calibri"/>
                <w:color w:val="202A35"/>
                <w:sz w:val="18"/>
              </w:rPr>
              <w:t>Memoria LaTeX</w:t>
            </w:r>
          </w:p>
        </w:tc>
        <w:tc>
          <w:tcPr>
            <w:tcW w:type="dxa" w:w="7160"/>
            <w:tcMar>
              <w:top w:w="80" w:type="dxa"/>
              <w:start w:w="120" w:type="dxa"/>
              <w:bottom w:w="80" w:type="dxa"/>
              <w:end w:w="120" w:type="dxa"/>
            </w:tcMar>
            <w:vAlign w:val="center"/>
          </w:tcPr>
          <w:p>
            <w:pPr>
              <w:spacing w:after="0" w:line="252" w:lineRule="auto"/>
            </w:pPr>
            <w:r>
              <w:rPr>
                <w:rFonts w:ascii="Calibri" w:hAnsi="Calibri"/>
                <w:color w:val="202A35"/>
                <w:sz w:val="18"/>
              </w:rPr>
              <w:t>El árbol hermano mantiene 20 archivos versionados modificados y nuevos diagramas; build/memoria.pdf es del 23 de julio y build/anexos.pdf del 21. Las fuentes aún describen búsqueda híbrida/RRF y ausencia de pantalla administrativa de modelos.</w:t>
            </w:r>
          </w:p>
        </w:tc>
      </w:tr>
    </w:tbl>
    <w:p>
      <w:pPr>
        <w:spacing w:before="80" w:after="80"/>
      </w:pPr>
    </w:p>
    <w:p>
      <w:pPr>
        <w:pStyle w:val="Heading1"/>
      </w:pPr>
      <w:r>
        <w:t>Cierre</w:t>
      </w:r>
    </w:p>
    <w:p>
      <w:r>
        <w:t>Batch-Downloader ya no es solo un descargador por lotes. Es una plataforma de catálogo y resolución de software con trazabilidad, administración asistida, descargas asíncronas y búsqueda semántica local. El siguiente salto de madurez no depende tanto de añadir nuevos componentes como de validar en despliegue los flujos recién incorporados, cerrar la evaluación semántica completa, sincronizar la documentación final y seguir preservando las invariantes operativas que surgieron de los problemas reales.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8"/>
        <w:sz w:val="17"/>
      </w:rPr>
      <w:t xml:space="preserve">28 de julio de 2026  |  </w:t>
    </w:r>
    <w:r>
      <w:rPr>
        <w:rFonts w:ascii="Calibri" w:hAnsi="Calibri"/>
        <w:color w:val="5F6B78"/>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4" w:color="D7DDE5"/>
      </w:pBdr>
    </w:pPr>
    <w:r>
      <w:rPr>
        <w:rFonts w:ascii="Calibri" w:hAnsi="Calibri"/>
        <w:b/>
        <w:color w:val="5F6B78"/>
        <w:sz w:val="17"/>
      </w:rPr>
      <w:t>BATCH-DOWNLOADER  |  INFORME DE EVOLUCIÓN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
  <cp:revision>1</cp:revision>
  <dcterms:created xsi:type="dcterms:W3CDTF">2013-12-23T23:15:00Z</dcterms:created>
  <dcterms:modified xsi:type="dcterms:W3CDTF">2026-07-29T11:44:06Z</dcterms:modified>
  <cp:category/>
</cp:coreProperties>
</file>