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- 2 de septiembre de 2026</w:t>
      </w:r>
    </w:p>
    <w:p w14:paraId="57F9E69A" w14:textId="77777777" w:rsidR="005906AC" w:rsidRDefault="00817ED8">
      <w:pPr>
        <w:spacing w:after="0"/>
        <w:jc w:val="center"/>
      </w:pPr>
      <w:r>
        <w:t>Elaborado a partir de las conversaciones recuperadas, el historial Git y la evidencia local verificada hasta el 2 de septiembre de 2026</w:t>
      </w:r>
    </w:p>
    <w:p w14:paraId="291075B8" w14:textId="77777777" w:rsidR="005906AC" w:rsidRDefault="00217333">
      <w:r/>
    </w:p>
    <w:p w14:paraId="7780CA2A" w14:textId="77777777" w:rsidR="005906AC" w:rsidRDefault="00217333">
      <w:pPr>
        <w:pStyle w:val="Ttulo1"/>
      </w:pPr>
      <w:r>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167 commits visibles y HEAD 5834478. Desde el corte anterior se integraron dos commits: la actualización del informe y la revisión de la política de contraseñas/verificación en backend, frontend, contratos y traducciones. Hay además cambios locales de una corrección del incidente de ordenación del catálogo que todavía no están integrados.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r>
              <w:t>165</w:t>
            </w:r>
          </w:p>
        </w:tc>
        <w:tc>
          <w:tcPr>
            <w:tcW w:w="3120" w:type="dxa"/>
            <w:shd w:val="clear" w:color="auto" w:fill="123A63"/>
            <w:tcMar>
              <w:top w:w="80" w:type="dxa"/>
              <w:left w:w="120" w:type="dxa"/>
              <w:bottom w:w="80" w:type="dxa"/>
              <w:right w:w="120" w:type="dxa"/>
            </w:tcMar>
            <w:vAlign w:val="center"/>
          </w:tcPr>
          <w:p>
            <w:r>
              <w:t>17</w:t>
            </w:r>
          </w:p>
        </w:tc>
        <w:tc>
          <w:tcPr>
            <w:tcW w:w="3120" w:type="dxa"/>
            <w:shd w:val="clear" w:color="auto" w:fill="123A63"/>
            <w:tcMar>
              <w:top w:w="80" w:type="dxa"/>
              <w:left w:w="120" w:type="dxa"/>
              <w:bottom w:w="80" w:type="dxa"/>
              <w:right w:w="120" w:type="dxa"/>
            </w:tcMar>
            <w:vAlign w:val="center"/>
          </w:tcPr>
          <w:p>
            <w:r>
              <w:t>requisitos organizados como issues</w:t>
            </w:r>
          </w:p>
        </w:tc>
      </w:tr>
      <w:tr w:rsidR="005906AC" w14:paraId="5DD86439" w14:textId="77777777">
        <w:tc>
          <w:tcPr>
            <w:tcW w:w="3120" w:type="dxa"/>
            <w:shd w:val="clear" w:color="auto" w:fill="F2F4F7"/>
            <w:tcMar>
              <w:top w:w="80" w:type="dxa"/>
              <w:left w:w="120" w:type="dxa"/>
              <w:bottom w:w="80" w:type="dxa"/>
              <w:right w:w="120" w:type="dxa"/>
            </w:tcMar>
            <w:vAlign w:val="center"/>
          </w:tcPr>
          <w:p w14:paraId="5AEF209D" w14:textId="77777777" w:rsidR="0001627B" w:rsidRDefault="00A96243">
            <w:r>
              <w:t>commits visibles en HEAD</w:t>
            </w:r>
          </w:p>
        </w:tc>
        <w:tc>
          <w:tcPr>
            <w:tcW w:w="3120" w:type="dxa"/>
            <w:shd w:val="clear" w:color="auto" w:fill="F2F4F7"/>
            <w:tcMar>
              <w:top w:w="80" w:type="dxa"/>
              <w:left w:w="120" w:type="dxa"/>
              <w:bottom w:w="80" w:type="dxa"/>
              <w:right w:w="120" w:type="dxa"/>
            </w:tcMar>
            <w:vAlign w:val="center"/>
          </w:tcPr>
          <w:p w14:paraId="22C31A0E" w14:textId="77777777" w:rsidR="0001627B" w:rsidRDefault="00A96243">
            <w:r>
              <w:t>servicios en los Compose de HEAD</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08a43bfc del 24 de agosto de 2026, verificado el 25 de agosto.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t>No se arrancó ni reinició la aplicación completa para preparar este informe. Los resultados desplegados y suites citados en fechas anteriores siguen siendo evidencia histórica. En esta ejecución se verificaron Git, configuración, ambos Compose de HEAD y el árbol LaTeX; la corrección local del catálogo conserva validaciones focalizadas de su tarea de origen, pero no se reejecutaron aquí ni se extrapolan a un benchmark global.</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r>
        <w:tc>
          <w:tcPr>
            <w:tcW w:type="dxa" w:w="1250"/>
          </w:tcPr>
          <w:p>
            <w:r>
              <w:t>1-2 sep</w:t>
            </w:r>
          </w:p>
        </w:tc>
        <w:tc>
          <w:tcPr>
            <w:tcW w:type="dxa" w:w="1250"/>
          </w:tcPr>
          <w:p>
            <w:r>
              <w:t>Catálogo, autenticación y búsqueda IA</w:t>
            </w:r>
          </w:p>
        </w:tc>
        <w:tc>
          <w:tcPr>
            <w:tcW w:type="dxa" w:w="3250"/>
          </w:tcPr>
          <w:p>
            <w:r>
              <w:t>Cuatro commits integrados; corrección semántica local con 6/6 y frontend 31/31, no integrada.</w:t>
            </w:r>
          </w:p>
        </w:tc>
        <w:tc>
          <w:tcPr>
            <w:tcW w:type="dxa" w:w="3610"/>
          </w:tcPr>
          <w:p>
            <w:r>
              <w:t>Integrar y revalidar la corrección; investigar el incidente temporal con métricas y ejecución repetible.</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pPr/>
      <w:r>
        <w:t>La tarea de mejora para un VPS de 8 vCore y 24 GB propuso separar resolución, descarga y empaquetado, limitar jobs y hosts, reservar espacio temporal, retener ZIPs y exponer métricas de capacidad. La implementación quedó en el working tree y la tarea terminó por límite de uso; por tanto, sus cambios, migración V14, políticas de reintento y script k6 se registran como trabajo local no verificado, no como entrega completa.</w:t>
      </w:r>
    </w:p>
    <w:p>
      <w:pPr/>
      <w:r>
        <w:t>El commit 9c9c48c amplió el manejo de descargas para conservar elementos manuales cuando algunas aplicaciones no tienen un instalador descargable. El cambio está integrado en Git, pero no se repitieron suites ni un recorrido de descarga sobre el checkout actual.</w:t>
      </w:r>
    </w:p>
    <w:p>
      <w:pPr/>
      <w:r>
        <w:t>El commit 6c227d8 añadió a Términos y Privacidad una tarjeta accesible de “Última actualización”. La fecha se obtiene automáticamente del último commit que modificó el catálogo legal, o de la modificación local como fallback; TypeScript, la prueba específica y el build de producción pasaron, con una entrada pública de 94,19 KiB gzip frente al límite de 112 KiB. Este resultado queda confirmado a nivel de frontend, sin arrancar la aplicación.</w:t>
      </w:r>
    </w:p>
    <w:p>
      <w:pPr>
        <w:pStyle w:val="Ttulo2"/>
      </w:pPr>
      <w:r>
        <w:t>25 de agosto - Descargas manuales, fecha legal y capacidad propuesta</w:t>
      </w:r>
    </w:p>
    <w:p>
      <w:pPr>
        <w:pStyle w:val="Ttulo2"/>
      </w:pPr>
      <w:r>
        <w:t>26-27 de agosto - Fusión, CI reproducible y almacenamiento de descargas</w:t>
      </w:r>
    </w:p>
    <w:p>
      <w:pPr/>
      <w:r>
        <w:t>El desarrollo fue fusionado en origin/main mediante el PR #50. La revisión dejó cerradas 21 issues con criterios esenciales cubiertos y mantuvo abiertas 27 por requisitos explícitos aún pendientes o evidencia insuficiente. El cierre se apoyó en validaciones locales y en los workflows remotos, no en el arranque de la aplicación.</w:t>
      </w:r>
    </w:p>
    <w:p>
      <w:pPr/>
      <w:r>
        <w:t>El commit 52ef2ff corrigió el workflow Publish GHCR: los Dockerfiles de scraper y semantic-service pasan a resolverse desde la raíz del checkout, después de que los contextos de subdirectorio provocaran fallos de Buildx. Los dos builds corregidos completaron la comprobación y la ejecución cache-only; Quality gate y los siete jobs de publicación GHCR quedaron correctos.</w:t>
      </w:r>
    </w:p>
    <w:p>
      <w:pPr/>
      <w:r>
        <w:t>La integración de 3f7616a añadió políticas separadas de MinIO para Core y worker, inicialización del bucket, limpieza de subidas incompletas y alertas de descargas. El flujo conserva Core como autoridad: el worker descarga y empaqueta en servidor, MinIO almacena el ZIP y Core entrega una URL firmada; la conversación de infraestructura confirma esta decisión como arquitectura preferida, pero no constituye una prueba de capacidad.</w:t>
      </w:r>
    </w:p>
    <w:p>
      <w:pPr/>
      <w:r>
        <w:t>Se verificaron sin iniciar la aplicación 276 pruebas Java (1 omitida), 244 del scraper, 31 del servicio semántico y 178 del frontend, además de typecheck, build frontend, Compose, política de salud y los dos builds Docker afectados. Estos resultados son evidencia focalizada del corte; no demuestran por sí solos capacidad para 1.000 usuarios ni 50 trabajos simultáneos.</w:t>
      </w:r>
    </w:p>
    <w:p>
      <w:pPr>
        <w:pStyle w:val="Ttulo1"/>
      </w:pPr>
      <w:r>
        <w:t>1 de septiembre - Configuración del entorno de desarrollo</w:t>
      </w:r>
    </w:p>
    <w:p>
      <w:pPr>
        <w:pStyle w:val="Ttulo1"/>
      </w:pPr>
      <w:r>
        <w:t>El commit 3ba1028 incorporó argumentos JVM para el servidor de lenguaje Java de VS Code (ParallelGC, límite de 4 GiB y desactivación del mapeo de memoria ZIP). Es una mejora de configuración integrada; no se presenta como benchmark ni como cambio del runtime desplegado.</w:t>
      </w:r>
    </w:p>
    <w:p>
      <w:pPr>
        <w:pStyle w:val="Ttulo2"/>
      </w:pPr>
      <w:r>
        <w:t>1-2 de septiembre - Catálogo, autenticación y descripciones IA</w:t>
      </w:r>
    </w:p>
    <w:p>
      <w:pPr/>
      <w:r>
        <w:t>HEAD avanzó desde 3ba1028/161 commits hasta e8f79f5/165 commits. Los cambios integrados incluyen la prioridad catalog_review_priority para ordenar e indexar el catálogo, una refactorización de autenticación/OAuth y la retirada explícita de la integración Google por coste de mantenimiento. Son cambios confirmados en Git; no se presenta ninguno como prueba de despliegue o benchmark.</w:t>
      </w:r>
    </w:p>
    <w:p>
      <w:pPr/>
      <w:r>
        <w:t>La tarea "Revisa la cola de descripciones IA" investigó un incidente temporal en el que el catálogo dejó de mostrar nuevas aplicaciones al alcanzar aproximadamente 5,5 mil registros. La causa operativa identificada fue MySQL 1038 (Out of sort memory) al ordenar filas anchas con descripciones; la corrección local añade prioridad indexada, ordena primero IDs y carga después las fichas completas, además de optimizar el orden por descargas. La tarea reportó 100/100 peticiones concurrentes correctas, cero nuevos 1038/500, 5.786 aplicaciones visibles, migraciones Alembic 0019 y Flyway 15 aplicadas, 248 pruebas Python, 2 integraciones MySQL y 18 pruebas Java; permanece sin commit y sin revalidación en este informe. La misma tarea dejó una corrección local para consultas semánticas cortas: 6/6 pruebas de SemanticSearchClient, 31/31 frontend, typecheck y build de 94,72 KiB gzip; también permanece no integrada.</w:t>
      </w:r>
    </w:p>
    <w:p>
      <w:pPr>
        <w:pStyle w:val="Ttulo1"/>
      </w:pPr>
      <w:r>
        <w:t>3 de septiembre - Ordenación del catálogo y política de contraseñas</w:t>
      </w:r>
    </w:p>
    <w:p>
      <w:pPr/>
      <w:r>
        <w:t>5834478 integra ajustes de política de contraseñas y verificación en AuthRateLimiter, IdentityController, PasswordPolicy, AdminBootstrap, frontend de cuenta, traducciones y OpenAPI. No se repitieron aquí las suites. En paralelo, la tarea de cola IA dejó una corrección local del ordenamiento MySQL con evidencia focalizada de estabilidad; sigue pendiente integrar y validar el cambio en el checkout.</w:t>
      </w:r>
    </w:p>
    <w:p>
      <w:pPr>
        <w:pStyle w:val="Ttulo1"/>
      </w:pPr>
      <w:r>
        <w:t>3-7 de septiembre - Scraper, fuentes y estado de integración</w:t>
      </w:r>
    </w:p>
    <w:p>
      <w:pPr/>
      <w:r>
        <w:t>HEAD avanzó a eaa845b (168 commits). El commit incorpora la refactorización del worker de búsqueda para ámbitos seleccionados sin catálogo remoto, el manejo de detalles incompletos de instaladores, la preferencia de versiones y un User-Agent específico para descargas parciales de SourceForge, junto con pruebas de resolución local, compatibilidad de instaladores y comportamiento del pool bajo carga. Es evidencia confirmada en Git; no se presenta como despliegue ni benchmark.</w:t>
      </w:r>
    </w:p>
    <w:p>
      <w:pPr/>
      <w:r>
        <w:t>La tarea «Revisa la cola de descripciones IA» continuó investigando la reconciliación de fuentes antiguas y la preservación de binarios válidos ante fallos transitorios, pero terminó por límite de uso antes de una conclusión final. El working tree contiene cambios locales en configuración, repositorio de catálogo, enriquecimiento de descripciones, política de instaladores, worker de plataforma y sus pruebas. Es trabajo no integrado y no revalidado aquí; debe revisarse e integrarse por separado.</w:t>
      </w:r>
    </w:p>
    <w:p>
      <w:pPr/>
      <w:r>
        <w:t>El árbol Batch-Downloader-Memoria sigue en 6c0649c (33 commits), con cambios locales extensos y nuevos diagramas, pero sin PDF nuevo verificable. Ambos Compose enumeran 17 servicios y no se arrancó la aplicación completa.</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y validar por separado la implementación local de capacidad de descargas: admisión, reservas de disco y MinIO, reintentos, límites por host, cancelación, SSE, outbox y limpieza. La existencia del script y de cambios locales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un estado anterior.</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r>
        <w:tc>
          <w:tcPr>
            <w:tcW w:type="dxa" w:w="1200"/>
          </w:tcPr>
          <w:p>
            <w:r>
              <w:t>25 de agosto</w:t>
            </w:r>
          </w:p>
        </w:tc>
        <w:tc>
          <w:tcPr>
            <w:tcW w:type="dxa" w:w="4200"/>
          </w:tcPr>
          <w:p>
            <w:r>
              <w:t>Planificar mejora de descargas</w:t>
            </w:r>
          </w:p>
        </w:tc>
        <w:tc>
          <w:tcPr>
            <w:tcW w:type="dxa" w:w="3960"/>
          </w:tcPr>
          <w:p>
            <w:r>
              <w:t>01a039fb-dc5d-73b3-94ee-778e811dd448</w:t>
            </w:r>
          </w:p>
        </w:tc>
      </w:tr>
      <w:tr>
        <w:tc>
          <w:tcPr>
            <w:tcW w:type="dxa" w:w="1200"/>
          </w:tcPr>
          <w:p>
            <w:r>
              <w:t>25 de agosto</w:t>
            </w:r>
          </w:p>
        </w:tc>
        <w:tc>
          <w:tcPr>
            <w:tcW w:type="dxa" w:w="4200"/>
          </w:tcPr>
          <w:p>
            <w:r>
              <w:t>Añadir fecha de actualización</w:t>
            </w:r>
          </w:p>
        </w:tc>
        <w:tc>
          <w:tcPr>
            <w:tcW w:type="dxa" w:w="3960"/>
          </w:tcPr>
          <w:p>
            <w:r>
              <w:t>01a03964-eda9-7552-a6df-aef0c3ff35e7</w:t>
            </w:r>
          </w:p>
        </w:tc>
      </w:tr>
      <w:tr>
        <w:tc>
          <w:tcPr>
            <w:tcW w:type="dxa" w:w="1200"/>
          </w:tcPr>
          <w:p>
            <w:r>
              <w:t>26-08-2026</w:t>
            </w:r>
          </w:p>
        </w:tc>
        <w:tc>
          <w:tcPr>
            <w:tcW w:type="dxa" w:w="4200"/>
          </w:tcPr>
          <w:p>
            <w:r>
              <w:t>Optimizar servidor VPS</w:t>
            </w:r>
          </w:p>
        </w:tc>
        <w:tc>
          <w:tcPr>
            <w:tcW w:type="dxa" w:w="3960"/>
          </w:tcPr>
          <w:p>
            <w:r>
              <w:t>6a883c06-e634-83ed-82a2-0539f28b9eb9</w:t>
            </w:r>
          </w:p>
        </w:tc>
      </w:tr>
      <w:tr>
        <w:tc>
          <w:tcPr>
            <w:tcW w:type="dxa" w:w="1200"/>
          </w:tcPr>
          <w:p>
            <w:r>
              <w:t>26-08-2026</w:t>
            </w:r>
          </w:p>
        </w:tc>
        <w:tc>
          <w:tcPr>
            <w:tcW w:type="dxa" w:w="4200"/>
          </w:tcPr>
          <w:p>
            <w:r>
              <w:t>Crea PR development a main</w:t>
            </w:r>
          </w:p>
        </w:tc>
        <w:tc>
          <w:tcPr>
            <w:tcW w:type="dxa" w:w="3960"/>
          </w:tcPr>
          <w:p>
            <w:r>
              <w:t>01a03f19-1e6f-7c21-9c67-d4dcc5e7b70b</w:t>
            </w:r>
          </w:p>
        </w:tc>
      </w:tr>
    </w:tbl>
    <w:p w14:paraId="332C2A53" w14:textId="77777777" w:rsidR="005906AC" w:rsidRDefault="005906AC">
      <w:pPr>
        <w:spacing w:before="80" w:after="80"/>
      </w:pPr>
    </w:p>
    <w:p w14:paraId="40607EA8" w14:textId="77777777" w:rsidR="005906AC" w:rsidRDefault="00217333">
      <w:pPr>
        <w:pStyle w:val="Ttulo1"/>
      </w:pPr>
      <w:r>
        <w:t>Batch-Downloader integra un scraper con ámbitos y evidencia de ausencia, políticas transversales mediante wrappers, una experiencia pública más precisa y accesible, el flujo de descargas manuales y la política de contraseñas/verificación de 5834478. El checkout local de development queda en eaa845b con 168 commits; origin/main contiene la fusión de PR #50. Ambos Compose mantienen 17 servicios de aplicación y perfiles auxiliares documentados. La corrección del incidente de memoria de ordenación y los cambios locales recientes del scraper quedan como trabajo no integrado. La carga, la validación de despliegue y la recompilación LaTeX siguen pendientes.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r>
        <w:tc>
          <w:tcPr>
            <w:tcW w:type="dxa" w:w="2200"/>
          </w:tcPr>
          <w:p>
            <w:r>
              <w:t>Corte 01-09-2026</w:t>
            </w:r>
          </w:p>
        </w:tc>
        <w:tc>
          <w:tcPr>
            <w:tcW w:type="dxa" w:w="7160"/>
          </w:tcPr>
          <w:p>
            <w:r>
              <w:t>HEAD local development 3ba1028/161 commits; origin/main fusiona PR #50. Los workflows GHCR y Quality gate fueron correctos; las suites focalizadas registraron 276 Java, 244 scraper, 31 semánticas y 178 frontend. Compose/health/build Docker correctos; no se inició la aplicación. LaTeX sigue en 6c0649c/33 commits con cambios locales y sin PDF nuevo verificado.</w:t>
            </w:r>
          </w:p>
        </w:tc>
      </w:tr>
      <w:tr>
        <w:tc>
          <w:tcPr>
            <w:tcW w:type="dxa" w:w="2200"/>
          </w:tcPr>
          <w:p>
            <w:r>
              <w:t>Corte 02-09-2026</w:t>
            </w:r>
          </w:p>
        </w:tc>
        <w:tc>
          <w:tcPr>
            <w:tcW w:type="dxa" w:w="7160"/>
          </w:tcPr>
          <w:p>
            <w:r>
              <w:t>HEAD local development e8f79f5/165 commits. Cuatro commits posteriores al corte anterior están integrados. Se recuperó una tarea nueva sobre el catálogo y la cola IA; la corrección semántica validada localmente no está integrada. LaTeX sigue en 6c0649c/33 commits con cambios locales y sin PDF nuevo verificado.</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ya integra un scraper con ámbitos y evidencia de ausencia, políticas transversales mediante wrappers, una experiencia pública más precisa y accesible, el flujo de descargas manuales y la política de contraseñas/verificación actualizada. El checkout local de development queda en eaa845b con 168 commits; origin/main contiene la fusión de PR #50. Ambos Compose mantienen 17 servicios de aplicación y perfiles auxiliares documentados. Los cambios locales recientes del scraper y la corrección del ordenamiento del catálogo tienen que integrarse y validarse aparte. La carga y la validación de despliegue siguen pendientes.</w:t>
      </w:r>
    </w:p>
    <w:p w14:paraId="31A92E76" w14:textId="77777777" w:rsidR="005906AC" w:rsidRDefault="005906AC"/>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