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4251960" cy="1135557"/>
            <wp:docPr id="1" name="Picture 1" descr="Logotipo de Batch-Downloader con cajas y el nombre del proyecto" title="Batch-Downloader"/>
            <wp:cNvGraphicFramePr>
              <a:graphicFrameLocks noChangeAspect="1"/>
            </wp:cNvGraphicFramePr>
            <a:graphic>
              <a:graphicData uri="http://schemas.openxmlformats.org/drawingml/2006/picture">
                <pic:pic>
                  <pic:nvPicPr>
                    <pic:cNvPr id="0" name="BatchDownloaderI.png"/>
                    <pic:cNvPicPr/>
                  </pic:nvPicPr>
                  <pic:blipFill>
                    <a:blip r:embed="rId11"/>
                    <a:stretch>
                      <a:fillRect/>
                    </a:stretch>
                  </pic:blipFill>
                  <pic:spPr>
                    <a:xfrm>
                      <a:off x="0" y="0"/>
                      <a:ext cx="4251960" cy="1135557"/>
                    </a:xfrm>
                    <a:prstGeom prst="rect"/>
                  </pic:spPr>
                </pic:pic>
              </a:graphicData>
            </a:graphic>
          </wp:inline>
        </w:drawing>
      </w:r>
    </w:p>
    <w:p>
      <w:pPr>
        <w:spacing w:before="680" w:after="200"/>
        <w:jc w:val="center"/>
      </w:pPr>
      <w:r>
        <w:rPr>
          <w:rFonts w:ascii="Calibri" w:hAnsi="Calibri"/>
          <w:b/>
          <w:color w:val="B87918"/>
          <w:sz w:val="21"/>
        </w:rPr>
        <w:t>INFORME DE EVOLUCIÓN DEL PROYECTO</w:t>
      </w:r>
    </w:p>
    <w:p>
      <w:pPr>
        <w:spacing w:after="160"/>
        <w:jc w:val="center"/>
      </w:pPr>
      <w:r>
        <w:rPr>
          <w:rFonts w:ascii="Calibri" w:hAnsi="Calibri"/>
          <w:b/>
          <w:color w:val="123A63"/>
          <w:sz w:val="60"/>
        </w:rPr>
        <w:t>Batch-Downloader</w:t>
      </w:r>
    </w:p>
    <w:p>
      <w:pPr>
        <w:spacing w:after="560"/>
        <w:jc w:val="center"/>
      </w:pPr>
      <w:r>
        <w:rPr>
          <w:rFonts w:ascii="Calibri" w:hAnsi="Calibri"/>
          <w:color w:val="1F4D78"/>
          <w:sz w:val="30"/>
        </w:rPr>
        <w:t>Cronología, avances, problemas y soluciones</w:t>
      </w:r>
    </w:p>
    <w:p>
      <w:pPr>
        <w:spacing w:after="80"/>
        <w:jc w:val="center"/>
      </w:pPr>
      <w:r>
        <w:t>Periodo analizado: 16 de junio - 30 de julio de 2026</w:t>
      </w:r>
    </w:p>
    <w:p>
      <w:pPr>
        <w:spacing w:after="0"/>
        <w:jc w:val="center"/>
      </w:pPr>
      <w:r>
        <w:t>Elaborado a partir de 20 conversaciones recuperadas, el historial Git y la documentación actual</w:t>
      </w:r>
    </w:p>
    <w:p>
      <w:r>
        <w:br w:type="page"/>
      </w:r>
    </w:p>
    <w:p>
      <w:pPr>
        <w:pStyle w:val="Heading1"/>
      </w:pPr>
      <w:r>
        <w:t>Resumen ejecutivo</w:t>
      </w:r>
    </w:p>
    <w:p>
      <w:r>
        <w:rPr>
          <w:rFonts w:ascii="Calibri" w:hAnsi="Calibri"/>
          <w:i w:val="0"/>
          <w:color w:val="202A35"/>
          <w:sz w:val="22"/>
        </w:rP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r>
        <w:t>El resultado actual es un monorepo en la rama development con 115 commits visibles y un Compose de 16 servicios. MySQL mantiene la autoridad transaccional del catálogo y PostgreSQL/pgvector sigue siendo una proyección reconstruible. La descarga por lotes publica ahora cada resultado al terminar, separa el empaquetado real, conserva fallos por aplicación y puede incluir accesos seguros a páginas oficiales. La búsqueda semántica respeta el orden elegido por el usuario y usa la relevancia como desempate. La evaluación completa que podría justificar la promoción de un modelo sigue pendiente de métricas finales.</w:t>
      </w:r>
    </w:p>
    <w:p>
      <w:pPr>
        <w:spacing w:before="100" w:after="200" w:line="264" w:lineRule="auto"/>
        <w:ind w:left="259" w:right="173"/>
        <w:shd w:val="clear" w:fill="FFF6E6"/>
      </w:pPr>
      <w:r>
        <w:rPr>
          <w:rFonts w:ascii="Calibri" w:hAnsi="Calibri"/>
          <w:b/>
          <w:color w:val="B87918"/>
          <w:sz w:val="22"/>
        </w:rPr>
        <w:t xml:space="preserve">Conclusión principal: </w:t>
      </w:r>
      <w:r>
        <w:rPr>
          <w:rFonts w:ascii="Calibri" w:hAnsi="Calibri"/>
          <w:color w:val="202A35"/>
          <w:sz w:val="22"/>
        </w:rPr>
        <w:t>El proyecto ha madurado sobre todo en fiabilidad operativa: las incidencias ya no se resuelven con excepciones aisladas, sino mediante invariantes de catálogo, recuperación de leases, revalidación justo antes de descargar y degradación segura cuando un servicio auxiliar no está disponible.</w:t>
      </w:r>
    </w:p>
    <w:tbl>
      <w:tblPr>
        <w:tblW w:type="dxa" w:w="9360"/>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115</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20</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16</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48</w:t>
            </w:r>
          </w:p>
        </w:tc>
      </w:tr>
      <w:tr>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commits visibles</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conversaciones analizadas</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servicios en Compose</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requisitos organizados como issues</w:t>
            </w:r>
          </w:p>
        </w:tc>
      </w:tr>
    </w:tbl>
    <w:p/>
    <w:p>
      <w:pPr>
        <w:pStyle w:val="Heading1"/>
      </w:pPr>
      <w:r>
        <w:t>Alcance y método</w:t>
      </w:r>
    </w:p>
    <w:p>
      <w:r>
        <w:t>Este informe combina cuatro fuentes: historiales de tareas de Codex vinculadas al checkout principal, conversaciones del repositorio hermano de la memoria LaTeX, una tarea de organización del proyecto en GitHub y el historial Git local hasta el commit 4703841 del 29 de julio de 2026, verificado el 30 de julio. También se contrastaron README.md, .github/copilot-instructions.md, los dos Compose, los cambios locales y el estado y las fechas de los PDF de la memoria.</w:t>
      </w:r>
    </w:p>
    <w:p>
      <w:pPr>
        <w:numPr>
          <w:ilvl w:val="0"/>
          <w:numId w:val="10"/>
        </w:numPr>
        <w:spacing w:after="160" w:line="280" w:lineRule="auto"/>
      </w:pPr>
      <w:r>
        <w:rPr>
          <w:rFonts w:ascii="Calibri" w:hAnsi="Calibri"/>
          <w:color w:val="202A35"/>
          <w:sz w:val="22"/>
        </w:rPr>
        <w:t>Se recuperaron todas las conversaciones relevantes visibles dentro de las 50 tareas recientes que la aplicación permite listar en esta sesión.</w:t>
      </w:r>
    </w:p>
    <w:p>
      <w:pPr>
        <w:numPr>
          <w:ilvl w:val="0"/>
          <w:numId w:val="10"/>
        </w:numPr>
        <w:spacing w:after="160" w:line="280" w:lineRule="auto"/>
      </w:pPr>
      <w:r>
        <w:rPr>
          <w:rFonts w:ascii="Calibri" w:hAnsi="Calibri"/>
          <w:color w:val="202A35"/>
          <w:sz w:val="22"/>
        </w:rPr>
        <w:t>Las cifras históricas se presentan como hitos de verificación en la fecha en que se registraron; no se asume que sigan siendo idénticas hoy.</w:t>
      </w:r>
    </w:p>
    <w:p>
      <w:pPr>
        <w:numPr>
          <w:ilvl w:val="0"/>
          <w:numId w:val="10"/>
        </w:numPr>
        <w:spacing w:after="160" w:line="280" w:lineRule="auto"/>
      </w:pPr>
      <w:r>
        <w:rPr>
          <w:rFonts w:ascii="Calibri" w:hAnsi="Calibri"/>
          <w:color w:val="202A35"/>
          <w:sz w:val="22"/>
        </w:rPr>
        <w:t>Las decisiones sustituidas se señalan expresamente. Por ejemplo, el estado público pending fue introducido y después eliminado, y la redacción manual de descripciones fue reemplazada por una fase LLM persistente.</w:t>
      </w:r>
    </w:p>
    <w:p>
      <w:pPr>
        <w:numPr>
          <w:ilvl w:val="0"/>
          <w:numId w:val="10"/>
        </w:numPr>
        <w:spacing w:after="160" w:line="280" w:lineRule="auto"/>
      </w:pPr>
      <w:r>
        <w:rPr>
          <w:rFonts w:ascii="Calibri" w:hAnsi="Calibri"/>
          <w:color w:val="202A35"/>
          <w:sz w:val="22"/>
        </w:rPr>
        <w:t>No se arrancó ni reinició la aplicación completa para preparar este informe. La tarea de descargas sí dejó evidencia histórica de pruebas en navegador sobre el despliegue ya activo y de una reparación concreta de las fuentes de itch; esos resultados se distinguen del código que todavía requiere reconstrucción. El resto del estado actual se verificó mediante Git, configuración, pruebas focalizadas y documentación.</w:t>
      </w:r>
    </w:p>
    <w:p>
      <w:pPr>
        <w:spacing w:before="100" w:after="200" w:line="264" w:lineRule="auto"/>
        <w:ind w:left="259" w:right="173"/>
        <w:shd w:val="clear" w:fill="F2F4F7"/>
      </w:pPr>
      <w:r>
        <w:rPr>
          <w:rFonts w:ascii="Calibri" w:hAnsi="Calibri"/>
          <w:b/>
          <w:color w:val="5F6B78"/>
          <w:sz w:val="22"/>
        </w:rPr>
        <w:t xml:space="preserve">Límite de la fuente: </w:t>
      </w:r>
      <w:r>
        <w:rPr>
          <w:rFonts w:ascii="Calibri" w:hAnsi="Calibri"/>
          <w:color w:val="202A35"/>
          <w:sz w:val="22"/>
        </w:rPr>
        <w:t>El informe cubre el historial visible y el historial Git local. No puede garantizar que una conversación más antigua o eliminada, fuera de ese alcance, esté representada.</w:t>
      </w:r>
    </w:p>
    <w:p>
      <w:pPr>
        <w:pStyle w:val="Heading1"/>
      </w:pPr>
      <w:r>
        <w:t>Cronología de un vistazo</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500"/>
        <w:gridCol w:w="2100"/>
        <w:gridCol w:w="5760"/>
      </w:tblGrid>
      <w:tr>
        <w:trPr>
          <w:tblHeader w:val="true"/>
        </w:trPr>
        <w:tc>
          <w:tcPr>
            <w:tcW w:type="dxa" w:w="1500"/>
            <w:tcMar>
              <w:top w:w="80" w:type="dxa"/>
              <w:start w:w="120" w:type="dxa"/>
              <w:bottom w:w="80" w:type="dxa"/>
              <w:end w:w="120" w:type="dxa"/>
            </w:tcMar>
            <w:vAlign w:val="center"/>
            <w:shd w:fill="E8EEF5" w:val="clear"/>
          </w:tcPr>
          <w:p>
            <w:pPr>
              <w:spacing w:after="0"/>
            </w:pPr>
            <w:r>
              <w:rPr>
                <w:rFonts w:ascii="Calibri" w:hAnsi="Calibri"/>
                <w:b/>
                <w:color w:val="123A63"/>
                <w:sz w:val="18"/>
              </w:rPr>
              <w:t>Periodo</w:t>
            </w:r>
          </w:p>
        </w:tc>
        <w:tc>
          <w:tcPr>
            <w:tcW w:type="dxa" w:w="2100"/>
            <w:tcMar>
              <w:top w:w="80" w:type="dxa"/>
              <w:start w:w="120" w:type="dxa"/>
              <w:bottom w:w="80" w:type="dxa"/>
              <w:end w:w="120" w:type="dxa"/>
            </w:tcMar>
            <w:vAlign w:val="center"/>
            <w:shd w:fill="E8EEF5" w:val="clear"/>
          </w:tcPr>
          <w:p>
            <w:pPr>
              <w:spacing w:after="0"/>
            </w:pPr>
            <w:r>
              <w:rPr>
                <w:rFonts w:ascii="Calibri" w:hAnsi="Calibri"/>
                <w:b/>
                <w:color w:val="123A63"/>
                <w:sz w:val="18"/>
              </w:rPr>
              <w:t>Foco</w:t>
            </w:r>
          </w:p>
        </w:tc>
        <w:tc>
          <w:tcPr>
            <w:tcW w:type="dxa" w:w="5760"/>
            <w:tcMar>
              <w:top w:w="80" w:type="dxa"/>
              <w:start w:w="120" w:type="dxa"/>
              <w:bottom w:w="80" w:type="dxa"/>
              <w:end w:w="120" w:type="dxa"/>
            </w:tcMar>
            <w:vAlign w:val="center"/>
            <w:shd w:fill="E8EEF5" w:val="clear"/>
          </w:tcPr>
          <w:p>
            <w:pPr>
              <w:spacing w:after="0"/>
            </w:pPr>
            <w:r>
              <w:rPr>
                <w:rFonts w:ascii="Calibri" w:hAnsi="Calibri"/>
                <w:b/>
                <w:color w:val="123A63"/>
                <w:sz w:val="18"/>
              </w:rPr>
              <w:t>Resultado general</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16-25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Fundación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Repositorio, licencia, README, plantilla, marca y estructura del monorepo.</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18-23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Memoria y planificación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Objetivos, maquetación, acrónimos, trabajos relacionados y 48 requisitos convertidos en issues.</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26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MVP funcional</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Scraper Winstall, FastAPI, React/Vite, MySQL, traducciones, servicios mínimos y Compose.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30 jun-4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Catálogo y administración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LLM para descripciones, WebSocket, descargas por selección, UUID, facetas, filtros e i18n centralizado.</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7-10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Pipeline y endurecimiento</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CSS modular, colas Searcher/Filter/Scraper, leases, observabilidad, GHCR y validación avanzada.</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11-16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Plataforma distribuida</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Usuarios, jobs, worker de descargas, notificaciones, MinIO, SSE, cancelación y Descriptor persistente.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18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Estados coherentes</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available/review/missing como estados públicos, proyección MySQL y eliminación pública de pending.</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23-24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Semántica y Python 3.14t</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pgvector, modelos Hugging Face, búsqueda semántica, entrenamiento reproducible y free-threading.</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26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UX y operación avanzada</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Bundles por SO, más descargadas, administración semántica, fallos parciales y benchmark recuperable.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28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Administración asistida y correcciones</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Snapshots de evaluación, UUID, resolución manual multinstalador y alta desde web oficial.</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29-30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Descargas y documentación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Progreso por item, overlay global, MANUAL_ONLY, accesos .url, orden respetado y cobertura documental Java/Python.</w:t>
            </w:r>
          </w:p>
        </w:tc>
      </w:tr>
    </w:tbl>
    <w:p>
      <w:pPr>
        <w:spacing w:before="80" w:after="80"/>
      </w:pPr>
    </w:p>
    <w:p>
      <w:pPr>
        <w:pStyle w:val="Heading1"/>
      </w:pPr>
      <w:r>
        <w:t>Cronología detallada</w:t>
      </w:r>
    </w:p>
    <w:p>
      <w:pPr>
        <w:pStyle w:val="Heading2"/>
      </w:pPr>
      <w:r>
        <w:t>16 de junio - Inicio formal</w:t>
      </w:r>
    </w:p>
    <w:p>
      <w:r>
        <w:rPr>
          <w:rFonts w:ascii="Calibri" w:hAnsi="Calibri"/>
          <w:i w:val="0"/>
          <w:color w:val="202A35"/>
          <w:sz w:val="22"/>
        </w:rPr>
        <w:t>Se creó el repositorio y se incorporaron los primeros elementos de identidad: licencia, autoría y una descripción inicial del objetivo del sistema. Era todavía una base documental, sin la plataforma distribuida que existe hoy.</w:t>
      </w:r>
    </w:p>
    <w:p>
      <w:pPr>
        <w:pStyle w:val="Heading2"/>
      </w:pPr>
      <w:r>
        <w:t>18-23 de junio - Memoria, requisitos y planificación</w:t>
      </w:r>
    </w:p>
    <w:p>
      <w:r>
        <w:rPr>
          <w:rFonts w:ascii="Calibri" w:hAnsi="Calibri"/>
          <w:i w:val="0"/>
          <w:color w:val="202A35"/>
          <w:sz w:val="22"/>
        </w:rP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r>
        <w:rPr>
          <w:rFonts w:ascii="Calibri" w:hAnsi="Calibri"/>
          <w:i w:val="0"/>
          <w:color w:val="202A35"/>
          <w:sz w:val="22"/>
        </w:rP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r>
        <w:rPr>
          <w:rFonts w:ascii="Calibri" w:hAnsi="Calibri"/>
          <w:i w:val="0"/>
          <w:color w:val="202A35"/>
          <w:sz w:val="22"/>
        </w:rP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pPr>
        <w:pStyle w:val="Heading2"/>
      </w:pPr>
      <w:r>
        <w:t>25-26 de junio - Del esqueleto al MVP</w:t>
      </w:r>
    </w:p>
    <w:p>
      <w:r>
        <w:rPr>
          <w:rFonts w:ascii="Calibri" w:hAnsi="Calibri"/>
          <w:i w:val="0"/>
          <w:color w:val="202A35"/>
          <w:sz w:val="22"/>
        </w:rP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r>
        <w:rPr>
          <w:rFonts w:ascii="Calibri" w:hAnsi="Calibri"/>
          <w:i w:val="0"/>
          <w:color w:val="202A35"/>
          <w:sz w:val="22"/>
        </w:rP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pPr>
        <w:spacing w:before="100" w:after="200" w:line="264" w:lineRule="auto"/>
        <w:ind w:left="259" w:right="173"/>
        <w:shd w:val="clear" w:fill="E8EEF5"/>
      </w:pPr>
      <w:r>
        <w:rPr>
          <w:rFonts w:ascii="Calibri" w:hAnsi="Calibri"/>
          <w:b/>
          <w:color w:val="123A63"/>
          <w:sz w:val="22"/>
        </w:rPr>
        <w:t xml:space="preserve">Hito técnico: </w:t>
      </w:r>
      <w:r>
        <w:rPr>
          <w:rFonts w:ascii="Calibri" w:hAnsi="Calibri"/>
          <w:color w:val="202A35"/>
          <w:sz w:val="22"/>
        </w:rPr>
        <w:t>El repositorio pasó en un día de servicios mayoritariamente vacíos a una aplicación compuesta ejecutable, con catálogo persistente y una primera descarga redirigida a un instalador real.</w:t>
      </w:r>
    </w:p>
    <w:p>
      <w:pPr>
        <w:pStyle w:val="Heading2"/>
      </w:pPr>
      <w:r>
        <w:t>30 de junio - Descripciones y panel administrativo</w:t>
      </w:r>
    </w:p>
    <w:p>
      <w:r>
        <w:rPr>
          <w:rFonts w:ascii="Calibri" w:hAnsi="Calibri"/>
          <w:i w:val="0"/>
          <w:color w:val="202A35"/>
          <w:sz w:val="22"/>
        </w:rP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r>
        <w:rPr>
          <w:rFonts w:ascii="Calibri" w:hAnsi="Calibri"/>
          <w:i w:val="0"/>
          <w:color w:val="202A35"/>
          <w:sz w:val="22"/>
        </w:rP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pPr>
        <w:pStyle w:val="Heading2"/>
      </w:pPr>
      <w:r>
        <w:t>1 de julio - Catálogo compartible y descargas múltiples</w:t>
      </w:r>
    </w:p>
    <w:p>
      <w:r>
        <w:rPr>
          <w:rFonts w:ascii="Calibri" w:hAnsi="Calibri"/>
          <w:i w:val="0"/>
          <w:color w:val="202A35"/>
          <w:sz w:val="22"/>
        </w:rP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r>
        <w:rPr>
          <w:rFonts w:ascii="Calibri" w:hAnsi="Calibri"/>
          <w:i w:val="0"/>
          <w:color w:val="202A35"/>
          <w:sz w:val="22"/>
        </w:rP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pPr>
        <w:pStyle w:val="Heading2"/>
      </w:pPr>
      <w:r>
        <w:t>3-4 de julio - Rendimiento, facetas e internacionalización</w:t>
      </w:r>
    </w:p>
    <w:p>
      <w:r>
        <w:rPr>
          <w:rFonts w:ascii="Calibri" w:hAnsi="Calibri"/>
          <w:i w:val="0"/>
          <w:color w:val="202A35"/>
          <w:sz w:val="22"/>
        </w:rP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r>
        <w:rPr>
          <w:rFonts w:ascii="Calibri" w:hAnsi="Calibri"/>
          <w:i w:val="0"/>
          <w:color w:val="202A35"/>
          <w:sz w:val="22"/>
        </w:rP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pPr>
        <w:pStyle w:val="Heading2"/>
      </w:pPr>
      <w:r>
        <w:t>7-8 de julio - Pipeline persistente y despliegue GHCR</w:t>
      </w:r>
    </w:p>
    <w:p>
      <w:r>
        <w:rPr>
          <w:rFonts w:ascii="Calibri" w:hAnsi="Calibri"/>
          <w:i w:val="0"/>
          <w:color w:val="202A35"/>
          <w:sz w:val="22"/>
        </w:rP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r>
        <w:rPr>
          <w:rFonts w:ascii="Calibri" w:hAnsi="Calibri"/>
          <w:i w:val="0"/>
          <w:color w:val="202A35"/>
          <w:sz w:val="22"/>
        </w:rPr>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r>
        <w:rPr>
          <w:rFonts w:ascii="Calibri" w:hAnsi="Calibri"/>
          <w:i w:val="0"/>
          <w:color w:val="202A35"/>
          <w:sz w:val="22"/>
        </w:rPr>
        <w:t>El despliegue se separó entre desarrollo y GHCR, con un workflow que construye en pull requests y publica desde main. README y .env.example documentaron ambos flujos. La nomenclatura cambió con el tiempo; el estado actual usa docker-compose.yml y docker-compose.ghcr.yml.</w:t>
      </w:r>
    </w:p>
    <w:p>
      <w:pPr>
        <w:pStyle w:val="Heading2"/>
      </w:pPr>
      <w:r>
        <w:t>9-10 de julio - Validación de fuentes y cuarta fase</w:t>
      </w:r>
    </w:p>
    <w:p>
      <w:r>
        <w:rPr>
          <w:rFonts w:ascii="Calibri" w:hAnsi="Calibri"/>
          <w:i w:val="0"/>
          <w:color w:val="202A35"/>
          <w:sz w:val="22"/>
        </w:rP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r>
        <w:rPr>
          <w:rFonts w:ascii="Calibri" w:hAnsi="Calibri"/>
          <w:i w:val="0"/>
          <w:color w:val="202A35"/>
          <w:sz w:val="22"/>
        </w:rP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r>
        <w:rPr>
          <w:rFonts w:ascii="Calibri" w:hAnsi="Calibri"/>
          <w:i w:val="0"/>
          <w:color w:val="202A35"/>
          <w:sz w:val="22"/>
        </w:rPr>
        <w:t>Una ejecución quedó marcada running/paused tras un reinicio. Se saneó como partial/force_stopped, se liberaron items en progreso y se añadieron controles de parada forzada y limpieza segura. El frontend pidió confirmación antes de vaciar todas las colas.</w:t>
      </w:r>
    </w:p>
    <w:p>
      <w:pPr>
        <w:pStyle w:val="Heading2"/>
      </w:pPr>
      <w:r>
        <w:t>11-16 de julio - Plataforma completa de servicios</w:t>
      </w:r>
    </w:p>
    <w:p>
      <w:r>
        <w:rPr>
          <w:rFonts w:ascii="Calibri" w:hAnsi="Calibri"/>
          <w:i w:val="0"/>
          <w:color w:val="202A35"/>
          <w:sz w:val="22"/>
        </w:rP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r>
        <w:rPr>
          <w:rFonts w:ascii="Calibri" w:hAnsi="Calibri"/>
          <w:i w:val="0"/>
          <w:color w:val="202A35"/>
          <w:sz w:val="22"/>
        </w:rP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r>
        <w:rPr>
          <w:rFonts w:ascii="Calibri" w:hAnsi="Calibri"/>
          <w:i w:val="0"/>
          <w:color w:val="202A35"/>
          <w:sz w:val="22"/>
        </w:rP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pPr>
        <w:pStyle w:val="Heading2"/>
      </w:pPr>
      <w:r>
        <w:t>18 de julio - Estados públicos e invariantes de catálogo</w:t>
      </w:r>
    </w:p>
    <w:p>
      <w:r>
        <w:rPr>
          <w:rFonts w:ascii="Calibri" w:hAnsi="Calibri"/>
          <w:i w:val="0"/>
          <w:color w:val="202A35"/>
          <w:sz w:val="22"/>
        </w:rP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r>
        <w:rPr>
          <w:rFonts w:ascii="Calibri" w:hAnsi="Calibri"/>
          <w:i w:val="0"/>
          <w:color w:val="202A35"/>
          <w:sz w:val="22"/>
        </w:rP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r>
        <w:rPr>
          <w:rFonts w:ascii="Calibri" w:hAnsi="Calibri"/>
          <w:i w:val="0"/>
          <w:color w:val="202A35"/>
          <w:sz w:val="22"/>
        </w:rP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pPr>
        <w:pStyle w:val="Heading2"/>
      </w:pPr>
      <w:r>
        <w:t>23-24 de julio - Búsqueda semántica y CPython 3.14t</w:t>
      </w:r>
    </w:p>
    <w:p>
      <w:r>
        <w:rPr>
          <w:rFonts w:ascii="Calibri" w:hAnsi="Calibri"/>
          <w:i w:val="0"/>
          <w:color w:val="202A35"/>
          <w:sz w:val="22"/>
        </w:rP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r>
        <w:rPr>
          <w:rFonts w:ascii="Calibri" w:hAnsi="Calibri"/>
          <w:i w:val="0"/>
          <w:color w:val="202A35"/>
          <w:sz w:val="22"/>
        </w:rP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r>
        <w:rPr>
          <w:rFonts w:ascii="Calibri" w:hAnsi="Calibri"/>
          <w:i w:val="0"/>
          <w:color w:val="202A35"/>
          <w:sz w:val="22"/>
        </w:rPr>
        <w:t>El smoke semántico verificó descarga, LoRA, evaluación e informes, pero no fue elegible para promover un modelo. E5-base zero-shot permaneció activo. Las fuentes LaTeX se actualizaron, aunque la conversación no verificó ambos PDF finales después de esos cambios.</w:t>
      </w:r>
    </w:p>
    <w:p>
      <w:pPr>
        <w:pStyle w:val="Heading2"/>
      </w:pPr>
      <w:r>
        <w:t>26 de julio - Bundles, administración semántica y recuperación</w:t>
      </w:r>
    </w:p>
    <w:p>
      <w:r>
        <w:rPr>
          <w:rFonts w:ascii="Calibri" w:hAnsi="Calibri"/>
          <w:i w:val="0"/>
          <w:color w:val="202A35"/>
          <w:sz w:val="22"/>
        </w:rP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r>
        <w:rPr>
          <w:rFonts w:ascii="Calibri" w:hAnsi="Calibri"/>
          <w:i w:val="0"/>
          <w:color w:val="202A35"/>
          <w:sz w:val="22"/>
        </w:rP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r>
        <w:rPr>
          <w:rFonts w:ascii="Calibri" w:hAnsi="Calibri"/>
          <w:i w:val="0"/>
          <w:color w:val="202A35"/>
          <w:sz w:val="22"/>
        </w:rP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pPr>
        <w:pStyle w:val="Heading2"/>
      </w:pPr>
      <w:r>
        <w:t>28 de julio - Administración asistida y ajustes recientes</w:t>
      </w:r>
    </w:p>
    <w:p>
      <w:r>
        <w:t>Se integraron snapshots de evaluación y manejo de consultas semánticas, se corrigió el estado vacío del panel de detalle y se resolvió un fallo al crear bundles: owner_id llegaba a MySQL como objeto Java serializado en vez de UUID textual.</w:t>
      </w:r>
    </w:p>
    <w:p>
      <w:pPr/>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pPr/>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pPr/>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pPr>
        <w:pStyle w:val="Heading2"/>
      </w:pPr>
      <w:r>
        <w:t>29-30 de julio - Descargas progresivas, orden y documentación interna</w:t>
      </w:r>
    </w:p>
    <w:p>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El resultado sigue como cambio local no confirmado; la equivalencia AST/bytecode y las suites documentadas reducen el riesgo, pero no sustituyen su revisión y commit.</w:t>
      </w:r>
    </w:p>
    <w:p>
      <w:pPr>
        <w:pStyle w:val="Heading1"/>
      </w:pPr>
      <w:r>
        <w:t>Problemas principales y soluciones aplicadas</w:t>
      </w:r>
    </w:p>
    <w:p>
      <w:pPr>
        <w:pStyle w:val="Heading2"/>
      </w:pPr>
      <w:r>
        <w:t>1. Docker y configuración distribuida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dentro de un contenedor, localhost apuntaba al propio servicio; además, los fallbacks y DSN duplicados hacían difícil detectar configuraciones incompletas.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hosts internos explícitos, construcción de URLs en código, variables obligatorias en .env/.env.example y dos Compose coordinados para desarrollo y GHCR.</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arranques reproducibles, fallos tempranos cuando falta configuración y menos divergencia entre servicios.</w:t>
      </w:r>
    </w:p>
    <w:p>
      <w:pPr>
        <w:pStyle w:val="Heading2"/>
      </w:pPr>
      <w:r>
        <w:t>2. Variabilidad de instaladores externos</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extensiones, MIME, redirecciones, CDN, GitHub, anti-bot y páginas dinámicas producen falsos negativos o falsos positivos.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resolución multi-estrategia, inspección de firmas, GET parcial con bytes crudos, Playwright, rutas específicas de GitHub, normalización de mirrors y atestación estricta de bloqueos.</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más instaladores válidos sin rebajar el bloqueo SSRF ni aceptar HTML genérico.</w:t>
      </w:r>
    </w:p>
    <w:p>
      <w:pPr>
        <w:pStyle w:val="Heading2"/>
      </w:pPr>
      <w:r>
        <w:t>3. Colas atascadas y concurrencia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locks antiguos, leases incompletos, deadlocks al reclamar trabajo y backlogs grandes hacían parecer detenido el scraper.</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colas persistentes, SKIP LOCKED con reintentos, leases recuperables, backpressure, parada cooperativa y acciones administrativas de reparación.</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el trabajo sobrevive a reinicios, los workers no mueren ante deadlocks transitorios y el operador puede recuperar el sistema sin borrar datos.</w:t>
      </w:r>
    </w:p>
    <w:p>
      <w:pPr>
        <w:pStyle w:val="Heading2"/>
      </w:pPr>
      <w:r>
        <w:t>4. Integridad y rendimiento de MySQL</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UUID binarios, JSON no serializable, SELECT DISTINCT sobre filas grandes, estadísticas lentas y clasificación divergente.</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tipos y saneado JSON, paginación por ID, consultas ligeras, proyección de catálogo con triggers y contadores singleton.</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menos errores StatementError y Out of sort memory; estados y totales coherentes en catálogo, bundles y descargas.</w:t>
      </w:r>
    </w:p>
    <w:p>
      <w:pPr>
        <w:pStyle w:val="Heading2"/>
      </w:pPr>
      <w:r>
        <w:t>5. URLs temporales y fallos de descarga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una URL caducada podía provocar el reintento del bundle completo y dejar la interfaz aparentemente bloqueada.</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revalidación JIT, errores por item, resultado PARTIAL, persistencia de jobs y ZIP en MinIO con entrega firmada.</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un proveedor defectuoso ya no invalida todas las aplicaciones del bundle.</w:t>
      </w:r>
    </w:p>
    <w:p>
      <w:pPr>
        <w:pStyle w:val="Heading2"/>
      </w:pPr>
      <w:r>
        <w:t>6. Estado y navegación de la interfaz</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rutas por nombre, saltos de layout, drawers vacíos, candidatos duplicados y selecciones fuera de página confundían al usuario.</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UUID en URL, merge del detalle seleccionado, scroll interno estable, CSS modular, estados vacíos explícitos y candidatos derivados del bundle actual.</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navegación compartible, menos movimiento visual y editores que reflejan inmediatamente el estado real.</w:t>
      </w:r>
    </w:p>
    <w:p>
      <w:pPr>
        <w:pStyle w:val="Heading2"/>
      </w:pPr>
      <w:r>
        <w:t>7. Semántica pública del catálogo</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pending, review y missing llegaron a solaparse o a depender de frescura temporal.</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available/review/missing exhaustivos y disjuntos, MySQL como autoridad y pending solo para procesos internos.</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filtros, facetas, contadores y selección de fuentes comparten la misma definición.</w:t>
      </w:r>
    </w:p>
    <w:p>
      <w:pPr>
        <w:pStyle w:val="Heading2"/>
      </w:pPr>
      <w:r>
        <w:t>8. Coste de evaluación semántica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los benchmarks semánticos regeneraban snapshots y ejecutaban ranking literal inútil, consumiendo CPU durante horas.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snapshots validados por semilla, catálogo y contentHash; include_lexical=False en evaluación semántica; operaciones con lease y progreso.</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se evita trabajo masivo redundante sin confundir un benchmark semántico con uno híbrido.</w:t>
      </w:r>
    </w:p>
    <w:p>
      <w:pPr>
        <w:pStyle w:val="Heading2"/>
      </w:pPr>
      <w:r>
        <w:t>9. Deriva entre código y memoria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decisiones y diagramas podían quedar desactualizados respecto a la arquitectura, y una edición de fuentes no garantizaba PDF final correcto.</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actualización coordinada de memoria, anexos, diagramas, README e instrucciones de agentes, más compilación y revisión visual cuando estuvo disponible.</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la documentación refleja mucho mejor el sistema real, aunque sigue existiendo un pendiente de sincronización final tras los últimos cambios semánticos.</w:t>
      </w:r>
    </w:p>
    <w:p>
      <w:pPr>
        <w:pStyle w:val="Heading2"/>
      </w:pPr>
      <w:r>
        <w:t>10. Alta y resolución manual seguras</w:t>
      </w:r>
    </w:p>
    <w:p>
      <w:pPr/>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pPr/>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pPr/>
      <w:r>
        <w:rPr>
          <w:b/>
        </w:rPr>
        <w:t xml:space="preserve">Impacto: </w:t>
      </w:r>
      <w:r>
        <w:t>la administración puede recuperar aplicaciones review/missing y crear altas desde una web oficial sin exponer URL ejecutables ni rebajar las garantías SSRF. Las respuestas tardías ya no repueblan una alta nueva.</w:t>
      </w:r>
    </w:p>
    <w:p>
      <w:pPr>
        <w:pStyle w:val="Heading2"/>
      </w:pPr>
      <w:r>
        <w:t>11. Progreso, fallos y entrega de descargas</w:t>
      </w:r>
    </w:p>
    <w:p>
      <w:pPr/>
      <w:r>
        <w:rPr>
          <w:b/>
        </w:rPr>
        <w:t xml:space="preserve">Problema: </w:t>
      </w:r>
      <w:r>
        <w:t>el contador saltaba de cero al total, el empaquetado no tenía una fase real, un fallo individual era poco explicativo y el navegador exigía una acción manual adicional.</w:t>
      </w:r>
    </w:p>
    <w:p>
      <w:pPr/>
      <w:r>
        <w:rPr>
          <w:b/>
        </w:rPr>
        <w:t xml:space="preserve">Solución: </w:t>
      </w:r>
      <w:r>
        <w:t>finalización por orden real, PACKAGING hasta cerrar el ZIP, overlay global recuperable, descarga automática idempotente, errores por aplicación y accesos .url seguros a páginas oficiales.</w:t>
      </w:r>
    </w:p>
    <w:p>
      <w:pPr/>
      <w:r>
        <w:rPr>
          <w:b/>
        </w:rPr>
        <w:t xml:space="preserve">Impacto: </w:t>
      </w:r>
      <w:r>
        <w:t>el usuario ve avance útil, conserva una vía manual y un proveedor defectuoso no oculta ni bloquea el resultado del resto del lote.</w:t>
      </w:r>
    </w:p>
    <w:p>
      <w:pPr>
        <w:pStyle w:val="Heading2"/>
      </w:pPr>
      <w:r>
        <w:t>12. Orden solicitado frente a relevancia</w:t>
      </w:r>
    </w:p>
    <w:p>
      <w:pPr/>
      <w:r>
        <w:rPr>
          <w:b/>
        </w:rPr>
        <w:t xml:space="preserve">Problema: </w:t>
      </w:r>
      <w:r>
        <w:t>al buscar, la relevancia literal o semántica se imponía a «Más descargadas», «Actualizadas» o «Nombre».</w:t>
      </w:r>
    </w:p>
    <w:p>
      <w:pPr/>
      <w:r>
        <w:rPr>
          <w:b/>
        </w:rPr>
        <w:t xml:space="preserve">Solución: </w:t>
      </w:r>
      <w:r>
        <w:t>MySQL aplica el criterio solicitado como orden principal y usa la relevancia únicamente como desempate, tanto en modo lexical como semantic.</w:t>
      </w:r>
    </w:p>
    <w:p>
      <w:pPr/>
      <w:r>
        <w:rPr>
          <w:b/>
        </w:rPr>
        <w:t xml:space="preserve">Impacto: </w:t>
      </w:r>
      <w:r>
        <w:t>el selector vuelve a describir el orden visible sin perder el conjunto de candidatos semánticos.</w:t>
      </w:r>
    </w:p>
    <w:p>
      <w:pPr>
        <w:pStyle w:val="Heading2"/>
      </w:pPr>
      <w:r>
        <w:t>13. Cobertura documental del código</w:t>
      </w:r>
    </w:p>
    <w:p>
      <w:pPr/>
      <w:r>
        <w:rPr>
          <w:b/>
        </w:rPr>
        <w:t xml:space="preserve">Problema: </w:t>
      </w:r>
      <w:r>
        <w:t>clases, funciones y variables mezclaban documentación parcial, inglés, placeholders o excepciones que no podían propagarse.</w:t>
      </w:r>
    </w:p>
    <w:p>
      <w:pPr/>
      <w:r>
        <w:rPr>
          <w:b/>
        </w:rPr>
        <w:t xml:space="preserve">Solución: </w:t>
      </w:r>
      <w:r>
        <w:t>cobertura estructural de 310 ficheros Java/Python, Javadoc y docstrings en español, validación PEP 257/doclint y comparación semántica mediante AST y bytecode.</w:t>
      </w:r>
    </w:p>
    <w:p>
      <w:pPr/>
      <w:r>
        <w:rPr>
          <w:b/>
        </w:rPr>
        <w:t xml:space="preserve">Impacto: </w:t>
      </w:r>
      <w:r>
        <w:t>el código resulta más navegable y los hovers son útiles, aunque el lote permanece sin confirmar en Git y debe revisarse como cambio local.</w:t>
      </w:r>
    </w:p>
    <w:p>
      <w:pPr>
        <w:pStyle w:val="Heading1"/>
      </w:pPr>
      <w:r>
        <w:t>Evolución de la arquitectura</w:t>
      </w:r>
    </w:p>
    <w:p>
      <w:r>
        <w:rPr>
          <w:rFonts w:ascii="Calibri" w:hAnsi="Calibri"/>
          <w:i w:val="0"/>
          <w:color w:val="202A35"/>
          <w:sz w:val="22"/>
        </w:rP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pPr>
        <w:numPr>
          <w:ilvl w:val="0"/>
          <w:numId w:val="11"/>
        </w:numPr>
        <w:spacing w:after="160" w:line="280" w:lineRule="auto"/>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pPr>
        <w:numPr>
          <w:ilvl w:val="0"/>
          <w:numId w:val="11"/>
        </w:numPr>
        <w:spacing w:after="160" w:line="280" w:lineRule="auto"/>
      </w:pPr>
      <w:r>
        <w:rPr>
          <w:rFonts w:ascii="Calibri" w:hAnsi="Calibri"/>
          <w:color w:val="202A35"/>
          <w:sz w:val="22"/>
        </w:rPr>
        <w:t>MySQL mantiene aplicaciones, fuentes, estados, facetas, contadores y paginación autoritativos.</w:t>
      </w:r>
    </w:p>
    <w:p>
      <w:pPr>
        <w:numPr>
          <w:ilvl w:val="0"/>
          <w:numId w:val="11"/>
        </w:numPr>
        <w:spacing w:after="160" w:line="280" w:lineRule="auto"/>
      </w:pPr>
      <w:r>
        <w:rPr>
          <w:rFonts w:ascii="Calibri" w:hAnsi="Calibri"/>
          <w:color w:val="202A35"/>
          <w:sz w:val="22"/>
        </w:rPr>
        <w:t>Core crea jobs e items, publica eventos mediante outbox y entrega estado por API/SSE.</w:t>
      </w:r>
    </w:p>
    <w:p>
      <w:pPr>
        <w:numPr>
          <w:ilvl w:val="0"/>
          <w:numId w:val="11"/>
        </w:numPr>
        <w:spacing w:after="160" w:line="280" w:lineRule="auto"/>
      </w:pPr>
      <w:r>
        <w:rPr>
          <w:rFonts w:ascii="Calibri" w:hAnsi="Calibri"/>
          <w:color w:val="202A35"/>
          <w:sz w:val="22"/>
        </w:rPr>
        <w:t>RabbitMQ transporta identificadores; download-worker resuelve la fuente actual, descarga y genera el ZIP.</w:t>
      </w:r>
    </w:p>
    <w:p>
      <w:pPr>
        <w:numPr>
          <w:ilvl w:val="0"/>
          <w:numId w:val="11"/>
        </w:numPr>
        <w:spacing w:after="160" w:line="280" w:lineRule="auto"/>
      </w:pPr>
      <w:r>
        <w:rPr>
          <w:rFonts w:ascii="Calibri" w:hAnsi="Calibri"/>
          <w:color w:val="202A35"/>
          <w:sz w:val="22"/>
        </w:rPr>
        <w:t>MinIO conserva ZIP, manifiestos y artefactos temporales; Core devuelve una redirección firmada válida para el navegador.</w:t>
      </w:r>
    </w:p>
    <w:p>
      <w:pPr>
        <w:numPr>
          <w:ilvl w:val="0"/>
          <w:numId w:val="11"/>
        </w:numPr>
        <w:spacing w:after="160" w:line="280" w:lineRule="auto"/>
      </w:pPr>
      <w:r>
        <w:rPr>
          <w:rFonts w:ascii="Calibri" w:hAnsi="Calibri"/>
          <w:color w:val="202A35"/>
          <w:sz w:val="22"/>
        </w:rPr>
        <w:t>PostgreSQL/pgvector almacena la proyección semántica reconstruible; MySQL sigue aplicando las reglas públicas.</w:t>
      </w:r>
    </w:p>
    <w:p>
      <w:pPr>
        <w:numPr>
          <w:ilvl w:val="0"/>
          <w:numId w:val="11"/>
        </w:numPr>
        <w:spacing w:after="160" w:line="280" w:lineRule="auto"/>
      </w:pPr>
      <w:r>
        <w:rPr>
          <w:rFonts w:ascii="Calibri" w:hAnsi="Calibri"/>
          <w:color w:val="202A35"/>
          <w:sz w:val="22"/>
        </w:rPr>
        <w:t>semantic-model-worker serializa operaciones pesadas de modelos con leases, idempotencia y cancelación cooperativa.</w:t>
      </w:r>
    </w:p>
    <w:p>
      <w:pPr>
        <w:numPr>
          <w:ilvl w:val="0"/>
          <w:numId w:val="11"/>
        </w:numPr>
        <w:spacing w:after="160" w:line="280" w:lineRule="auto"/>
      </w:pPr>
      <w:r>
        <w:rPr>
          <w:rFonts w:ascii="Calibri" w:hAnsi="Calibri"/>
          <w:color w:val="202A35"/>
          <w:sz w:val="22"/>
        </w:rPr>
        <w:t>Core expone además un endpoint interno autenticado de metadatos de items. El worker lo usa solo cuando hay fallos, valida la página oficial y puede construir accesos manuales sin transportar URLs ejecutables por RabbitMQ.</w:t>
      </w:r>
    </w:p>
    <w:p>
      <w:pPr>
        <w:numPr>
          <w:ilvl w:val="0"/>
          <w:numId w:val="11"/>
        </w:numPr>
        <w:spacing w:after="160" w:line="280" w:lineRule="auto"/>
      </w:pPr>
      <w:r>
        <w:rPr>
          <w:rFonts w:ascii="Calibri" w:hAnsi="Calibri"/>
          <w:color w:val="202A35"/>
          <w:sz w:val="22"/>
        </w:rPr>
        <w:t>El frontend mantiene los trabajos de descarga en un proveedor global fuera de las rutas. sessionStorage conserva contexto e intentos automáticos y cada job mantiene una única conexión SSE recuperable durante la sesión.</w:t>
      </w:r>
    </w:p>
    <w:p>
      <w:pPr>
        <w:pStyle w:val="Heading1"/>
      </w:pPr>
      <w:r>
        <w:t>Estado actual al 30 de julio de 2026</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250"/>
        <w:gridCol w:w="1250"/>
        <w:gridCol w:w="3250"/>
        <w:gridCol w:w="3610"/>
      </w:tblGrid>
      <w:tr>
        <w:trPr>
          <w:tblHeader w:val="true"/>
        </w:trPr>
        <w:tc>
          <w:tcPr>
            <w:tcW w:type="dxa" w:w="1250"/>
            <w:tcMar>
              <w:top w:w="80" w:type="dxa"/>
              <w:start w:w="120" w:type="dxa"/>
              <w:bottom w:w="80" w:type="dxa"/>
              <w:end w:w="120" w:type="dxa"/>
            </w:tcMar>
            <w:vAlign w:val="center"/>
            <w:shd w:fill="E8EEF5" w:val="clear"/>
          </w:tcPr>
          <w:p>
            <w:pPr>
              <w:spacing w:after="0"/>
            </w:pPr>
            <w:r>
              <w:rPr>
                <w:rFonts w:ascii="Calibri" w:hAnsi="Calibri"/>
                <w:b/>
                <w:color w:val="123A63"/>
                <w:sz w:val="17"/>
              </w:rPr>
              <w:t>Área</w:t>
            </w:r>
          </w:p>
        </w:tc>
        <w:tc>
          <w:tcPr>
            <w:tcW w:type="dxa" w:w="1250"/>
            <w:tcMar>
              <w:top w:w="80" w:type="dxa"/>
              <w:start w:w="120" w:type="dxa"/>
              <w:bottom w:w="80" w:type="dxa"/>
              <w:end w:w="120" w:type="dxa"/>
            </w:tcMar>
            <w:vAlign w:val="center"/>
            <w:shd w:fill="E8EEF5" w:val="clear"/>
          </w:tcPr>
          <w:p>
            <w:pPr>
              <w:spacing w:after="0"/>
            </w:pPr>
            <w:r>
              <w:rPr>
                <w:rFonts w:ascii="Calibri" w:hAnsi="Calibri"/>
                <w:b/>
                <w:color w:val="123A63"/>
                <w:sz w:val="17"/>
              </w:rPr>
              <w:t>Situación</w:t>
            </w:r>
          </w:p>
        </w:tc>
        <w:tc>
          <w:tcPr>
            <w:tcW w:type="dxa" w:w="3250"/>
            <w:tcMar>
              <w:top w:w="80" w:type="dxa"/>
              <w:start w:w="120" w:type="dxa"/>
              <w:bottom w:w="80" w:type="dxa"/>
              <w:end w:w="120" w:type="dxa"/>
            </w:tcMar>
            <w:vAlign w:val="center"/>
            <w:shd w:fill="E8EEF5" w:val="clear"/>
          </w:tcPr>
          <w:p>
            <w:pPr>
              <w:spacing w:after="0"/>
            </w:pPr>
            <w:r>
              <w:rPr>
                <w:rFonts w:ascii="Calibri" w:hAnsi="Calibri"/>
                <w:b/>
                <w:color w:val="123A63"/>
                <w:sz w:val="17"/>
              </w:rPr>
              <w:t>Evidencia</w:t>
            </w:r>
          </w:p>
        </w:tc>
        <w:tc>
          <w:tcPr>
            <w:tcW w:type="dxa" w:w="3610"/>
            <w:tcMar>
              <w:top w:w="80" w:type="dxa"/>
              <w:start w:w="120" w:type="dxa"/>
              <w:bottom w:w="80" w:type="dxa"/>
              <w:end w:w="120" w:type="dxa"/>
            </w:tcMar>
            <w:vAlign w:val="center"/>
            <w:shd w:fill="E8EEF5" w:val="clear"/>
          </w:tcPr>
          <w:p>
            <w:pPr>
              <w:spacing w:after="0"/>
            </w:pPr>
            <w:r>
              <w:rPr>
                <w:rFonts w:ascii="Calibri" w:hAnsi="Calibri"/>
                <w:b/>
                <w:color w:val="123A63"/>
                <w:sz w:val="17"/>
              </w:rPr>
              <w:t>Atención pendiente</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Repositorio</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Confirmado con cambios locales</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development, HEAD 4703841, 115 commits visibles y 310 ficheros modificados localmente por la campaña documental.</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Revisar y confirmar el lote documental sin mezclarlo con cambios funcionales.</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Despliegue</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Confirmado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docker-compose.yml y docker-compose.ghcr.yml; 16 servicios. El worker declara Core como dependencia service_started y recibe URL/timeout internos.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Comprobar publicación/visibilidad GHCR en cada release.</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Scraper</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Operativo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Pipeline persistente, resolución manual, alta desde web oficial y reparación de fuentes conocidas; itch usa endpoints oficiales para tres plataformas.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Reconstruir y comprobar migraciones y reparación automática sobre un despliegue actualizado.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Catálogo</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Consolidado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available/review/missing, filtros y facetas en MySQL; el orden solicitado es principal y la relevancia solo desempata.</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Preservar las invariantes al tocar migraciones o contratos.</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Descargas</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Consolidado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Progreso por item, PACKAGING real, READY/PARTIAL/MANUAL_ONLY, overlay recuperable, descarga automática idempotente y .url seguros.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Reconstruir Core/worker/frontend y repetir el caso completo; Paradox no quedó confirmado en el worker desplegado.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Semántica</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Integrada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E5-base zero-shot activo; modelos y administración disponibles.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Benchmark full final y elegible todavía no confirmado; no hay ganador promovido.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Documentación</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Avanzada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README, contratos, Copilot y Compose recogen las descargas progresivas y el nuevo orden. La campaña Java/Python cubre 310 ficheros y pasó sus auditorías.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El lote documental sigue sin confirmar; LaTeX conserva contratos híbridos y de descarga antiguos, y los PDF requieren reconstrucción conjunta.</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Gestión</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Estructurada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48 issues, cinco milestones, etiquetas por área y complejidad en GitHub Projects.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Revisar periódicamente que requisitos y estado del proyecto sigan alineados.</w:t>
            </w:r>
          </w:p>
        </w:tc>
      </w:tr>
    </w:tbl>
    <w:p>
      <w:pPr>
        <w:spacing w:before="80" w:after="80"/>
      </w:pPr>
    </w:p>
    <w:p>
      <w:pPr>
        <w:pStyle w:val="Heading1"/>
      </w:pPr>
      <w:r>
        <w:t>Pendientes y riesgos abiertos</w:t>
      </w:r>
    </w:p>
    <w:p>
      <w:pPr>
        <w:numPr>
          <w:ilvl w:val="0"/>
          <w:numId w:val="10"/>
        </w:numPr>
        <w:spacing w:after="160" w:line="280" w:lineRule="auto"/>
      </w:pPr>
      <w:r>
        <w:rPr>
          <w:rFonts w:ascii="Calibri" w:hAnsi="Calibri"/>
          <w:color w:val="202A35"/>
          <w:sz w:val="22"/>
        </w:rPr>
        <w:t>Completar una evaluación semántica full con métricas finales elegibles de calidad, latencia y memoria antes de recomendar o promover un modelo.</w:t>
      </w:r>
    </w:p>
    <w:p>
      <w:pPr>
        <w:numPr>
          <w:ilvl w:val="0"/>
          <w:numId w:val="10"/>
        </w:numPr>
        <w:spacing w:after="160" w:line="280" w:lineRule="auto"/>
      </w:pPr>
      <w:r>
        <w:t>Actualizar las fuentes LaTeX que aún describen búsqueda híbrida/RRF, ausencia de pantalla administrativa de modelos y un flujo de descargas anterior a MANUAL_ONLY, los accesos .url y el overlay progresivo. Después debe recompilarse y revisarse visualmente memoria.pdf y anexos.pdf; los PDF actuales siguen fechados el 23 y el 21 de julio, respectivamente.</w:t>
      </w:r>
    </w:p>
    <w:p>
      <w:pPr>
        <w:numPr>
          <w:ilvl w:val="0"/>
          <w:numId w:val="10"/>
        </w:numPr>
        <w:spacing w:after="160" w:line="280" w:lineRule="auto"/>
      </w:pPr>
      <w:r>
        <w:t>Reconstruir Core, download-worker y frontend en el orden documentado; verificar las migraciones 0012-0015 y V7, el avance item a item, PACKAGING, MANUAL_ONLY, la descarga automática y el arreglo de Paradox. La evidencia en navegador llegó a 16/17 con itch reparado, pero el worker activo no contenía todavía todas las correcciones.</w:t>
      </w:r>
    </w:p>
    <w:p>
      <w:pPr>
        <w:numPr>
          <w:ilvl w:val="0"/>
          <w:numId w:val="10"/>
        </w:numPr>
        <w:spacing w:after="160" w:line="280" w:lineRule="auto"/>
      </w:pPr>
      <w:r>
        <w:rPr>
          <w:rFonts w:ascii="Calibri" w:hAnsi="Calibri"/>
          <w:color w:val="202A35"/>
          <w:sz w:val="22"/>
        </w:rPr>
        <w:t>Revisar y confirmar en Git el lote documental de 310 ficheros. Está validado como cambio no funcional, pero el working tree continúa modificado y no debe confundirse con una entrega ya integrada.</w:t>
      </w:r>
    </w:p>
    <w:p>
      <w:pPr>
        <w:numPr>
          <w:ilvl w:val="0"/>
          <w:numId w:val="10"/>
        </w:numPr>
        <w:spacing w:after="160" w:line="280" w:lineRule="auto"/>
      </w:pPr>
      <w:r>
        <w:rPr>
          <w:rFonts w:ascii="Calibri" w:hAnsi="Calibri"/>
          <w:color w:val="202A35"/>
          <w:sz w:val="22"/>
        </w:rPr>
        <w:t>Mantener la revalidación de proveedores y la clasificación de fallos externos: 403, 404, DNS, SSO o retiradas reales no deben convertirse automáticamente en excepciones permisivas.</w:t>
      </w:r>
    </w:p>
    <w:p>
      <w:pPr>
        <w:numPr>
          <w:ilvl w:val="0"/>
          <w:numId w:val="10"/>
        </w:numPr>
        <w:spacing w:after="160" w:line="280" w:lineRule="auto"/>
      </w:pPr>
      <w:r>
        <w:rPr>
          <w:rFonts w:ascii="Calibri" w:hAnsi="Calibri"/>
          <w:color w:val="202A35"/>
          <w:sz w:val="22"/>
        </w:rPr>
        <w:t>Conservar sincronizados Core, Alembic, OpenAPI, TypeScript, traducciones y pruebas cuando cambien estados, fuentes o contratos.</w:t>
      </w:r>
    </w:p>
    <w:p>
      <w:pPr>
        <w:numPr>
          <w:ilvl w:val="0"/>
          <w:numId w:val="10"/>
        </w:numPr>
        <w:spacing w:after="160" w:line="280" w:lineRule="auto"/>
      </w:pPr>
      <w:r>
        <w:rPr>
          <w:rFonts w:ascii="Calibri" w:hAnsi="Calibri"/>
          <w:color w:val="202A35"/>
          <w:sz w:val="22"/>
        </w:rPr>
        <w:t>Seguir verificando en despliegue los cambios visuales que las pruebas unitarias no pueden demostrar por sí solas.</w:t>
      </w:r>
    </w:p>
    <w:p>
      <w:pPr>
        <w:pStyle w:val="Heading1"/>
      </w:pPr>
      <w:r>
        <w:t>Lecciones consolidadas</w:t>
      </w:r>
    </w:p>
    <w:p>
      <w:pPr>
        <w:numPr>
          <w:ilvl w:val="0"/>
          <w:numId w:val="10"/>
        </w:numPr>
        <w:spacing w:after="160" w:line="280" w:lineRule="auto"/>
      </w:pPr>
      <w:r>
        <w:rPr>
          <w:rFonts w:ascii="Calibri" w:hAnsi="Calibri"/>
          <w:color w:val="202A35"/>
          <w:sz w:val="22"/>
        </w:rPr>
        <w:t>La autoridad de los datos importa: MySQL decide estados y filtros; pgvector solo ordena semánticamente una proyección reconstruible.</w:t>
      </w:r>
    </w:p>
    <w:p>
      <w:pPr>
        <w:numPr>
          <w:ilvl w:val="0"/>
          <w:numId w:val="10"/>
        </w:numPr>
        <w:spacing w:after="160" w:line="280" w:lineRule="auto"/>
      </w:pPr>
      <w:r>
        <w:rPr>
          <w:rFonts w:ascii="Calibri" w:hAnsi="Calibri"/>
          <w:color w:val="202A35"/>
          <w:sz w:val="22"/>
        </w:rPr>
        <w:t>Una URL guardada no es una garantía de descarga futura; la revalidación debe ocurrir justo antes de usarla.</w:t>
      </w:r>
    </w:p>
    <w:p>
      <w:pPr>
        <w:numPr>
          <w:ilvl w:val="0"/>
          <w:numId w:val="10"/>
        </w:numPr>
        <w:spacing w:after="160" w:line="280" w:lineRule="auto"/>
      </w:pPr>
      <w:r>
        <w:rPr>
          <w:rFonts w:ascii="Calibri" w:hAnsi="Calibri"/>
          <w:color w:val="202A35"/>
          <w:sz w:val="22"/>
        </w:rPr>
        <w:t>Un fallo individual debe degradar un job, no reiniciar o bloquear todo el lote.</w:t>
      </w:r>
    </w:p>
    <w:p>
      <w:pPr>
        <w:numPr>
          <w:ilvl w:val="0"/>
          <w:numId w:val="10"/>
        </w:numPr>
        <w:spacing w:after="160" w:line="280" w:lineRule="auto"/>
      </w:pPr>
      <w:r>
        <w:rPr>
          <w:rFonts w:ascii="Calibri" w:hAnsi="Calibri"/>
          <w:color w:val="202A35"/>
          <w:sz w:val="22"/>
        </w:rPr>
        <w:t>La durabilidad operativa requiere leases, idempotencia, reintentos y herramientas de recuperación visibles para administración.</w:t>
      </w:r>
    </w:p>
    <w:p>
      <w:pPr>
        <w:numPr>
          <w:ilvl w:val="0"/>
          <w:numId w:val="10"/>
        </w:numPr>
        <w:spacing w:after="160" w:line="280" w:lineRule="auto"/>
      </w:pPr>
      <w:r>
        <w:rPr>
          <w:rFonts w:ascii="Calibri" w:hAnsi="Calibri"/>
          <w:color w:val="202A35"/>
          <w:sz w:val="22"/>
        </w:rPr>
        <w:t>Las fuentes web deben validarse por contenido y contexto, no solo por extensión o cabecera MIME.</w:t>
      </w:r>
    </w:p>
    <w:p>
      <w:pPr>
        <w:numPr>
          <w:ilvl w:val="0"/>
          <w:numId w:val="10"/>
        </w:numPr>
        <w:spacing w:after="160" w:line="280" w:lineRule="auto"/>
      </w:pPr>
      <w:r>
        <w:rPr>
          <w:rFonts w:ascii="Calibri" w:hAnsi="Calibri"/>
          <w:color w:val="202A35"/>
          <w:sz w:val="22"/>
        </w:rPr>
        <w:t>Las pruebas focalizadas y los contratos coordinados son más valiosos que afirmar que la aplicación completa funciona sin evidencia.</w:t>
      </w:r>
    </w:p>
    <w:p>
      <w:pPr>
        <w:numPr>
          <w:ilvl w:val="0"/>
          <w:numId w:val="10"/>
        </w:numPr>
        <w:spacing w:after="160" w:line="280" w:lineRule="auto"/>
      </w:pPr>
      <w:r>
        <w:rPr>
          <w:rFonts w:ascii="Calibri" w:hAnsi="Calibri"/>
          <w:color w:val="202A35"/>
          <w:sz w:val="22"/>
        </w:rPr>
        <w:t>La documentación final es un artefacto construido: editar LaTeX no equivale a haber verificado los PDF.</w:t>
      </w:r>
    </w:p>
    <w:p>
      <w:pPr>
        <w:numPr>
          <w:ilvl w:val="0"/>
          <w:numId w:val="10"/>
        </w:numPr>
        <w:spacing w:after="160" w:line="280" w:lineRule="auto"/>
      </w:pPr>
      <w:r>
        <w:rPr>
          <w:rFonts w:ascii="Calibri" w:hAnsi="Calibri"/>
          <w:color w:val="202A35"/>
          <w:sz w:val="22"/>
        </w:rPr>
        <w:t>Los benchmarks deben respetar el modo que miden; añadir ranking literal a una evaluación semántica distorsiona coste y significado.</w:t>
      </w:r>
    </w:p>
    <w:p>
      <w:pPr>
        <w:pStyle w:val="Heading1"/>
      </w:pPr>
      <w:r>
        <w:t>Apéndice A. Conversaciones recuperadas</w:t>
      </w:r>
    </w:p>
    <w:p>
      <w:r>
        <w:rPr>
          <w:rFonts w:ascii="Calibri" w:hAnsi="Calibri"/>
          <w:i w:val="0"/>
          <w:color w:val="202A35"/>
          <w:sz w:val="22"/>
        </w:rPr>
        <w:t>Las siguientes tareas fueron tratadas como fuentes primarias del relato. Los títulos y resúmenes se contrastaron con los mensajes finales, las fechas y el historial Git.</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200"/>
        <w:gridCol w:w="4200"/>
        <w:gridCol w:w="3960"/>
      </w:tblGrid>
      <w:tr>
        <w:trPr>
          <w:tblHeader w:val="true"/>
        </w:trPr>
        <w:tc>
          <w:tcPr>
            <w:tcW w:type="dxa" w:w="1200"/>
            <w:tcMar>
              <w:top w:w="80" w:type="dxa"/>
              <w:start w:w="120" w:type="dxa"/>
              <w:bottom w:w="80" w:type="dxa"/>
              <w:end w:w="120" w:type="dxa"/>
            </w:tcMar>
            <w:vAlign w:val="center"/>
            <w:shd w:fill="E8EEF5" w:val="clear"/>
          </w:tcPr>
          <w:p>
            <w:pPr>
              <w:spacing w:after="0"/>
            </w:pPr>
            <w:r>
              <w:rPr>
                <w:rFonts w:ascii="Calibri" w:hAnsi="Calibri"/>
                <w:b/>
                <w:color w:val="123A63"/>
                <w:sz w:val="17"/>
              </w:rPr>
              <w:t>Fecha</w:t>
            </w:r>
          </w:p>
        </w:tc>
        <w:tc>
          <w:tcPr>
            <w:tcW w:type="dxa" w:w="4200"/>
            <w:tcMar>
              <w:top w:w="80" w:type="dxa"/>
              <w:start w:w="120" w:type="dxa"/>
              <w:bottom w:w="80" w:type="dxa"/>
              <w:end w:w="120" w:type="dxa"/>
            </w:tcMar>
            <w:vAlign w:val="center"/>
            <w:shd w:fill="E8EEF5" w:val="clear"/>
          </w:tcPr>
          <w:p>
            <w:pPr>
              <w:spacing w:after="0"/>
            </w:pPr>
            <w:r>
              <w:rPr>
                <w:rFonts w:ascii="Calibri" w:hAnsi="Calibri"/>
                <w:b/>
                <w:color w:val="123A63"/>
                <w:sz w:val="17"/>
              </w:rPr>
              <w:t>Conversación</w:t>
            </w:r>
          </w:p>
        </w:tc>
        <w:tc>
          <w:tcPr>
            <w:tcW w:type="dxa" w:w="3960"/>
            <w:tcMar>
              <w:top w:w="80" w:type="dxa"/>
              <w:start w:w="120" w:type="dxa"/>
              <w:bottom w:w="80" w:type="dxa"/>
              <w:end w:w="120" w:type="dxa"/>
            </w:tcMar>
            <w:vAlign w:val="center"/>
            <w:shd w:fill="E8EEF5" w:val="clear"/>
          </w:tcPr>
          <w:p>
            <w:pPr>
              <w:spacing w:after="0"/>
            </w:pPr>
            <w:r>
              <w:rPr>
                <w:rFonts w:ascii="Calibri" w:hAnsi="Calibri"/>
                <w:b/>
                <w:color w:val="123A63"/>
                <w:sz w:val="17"/>
              </w:rPr>
              <w:t>Identificador de tarea</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Reescribir objetivos en puntos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019ed9d5-c9c5-7bc1-8a00-09f3ae986184</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Adaptar propuesta a memoria LaTeX</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019eda06-a265-7ec0-b03d-6d54499939e0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Localiza acrónimos del proyecto</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019edb72-5d67-7370-8005-a21a17e551e7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trabajos relacionados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019ee598-8cb9-7c62-825e-338ab5f50077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Crear issues con labels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019ee5ad-6d01-76a3-b11c-9a87758014cc</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23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Quitar columna de descripción</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019ef388-96d8-7212-8e27-df9fb24d32f3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26 jun-10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Crea scraper y frontend</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019f0307-6fc4-78a3-98b0-cbb139a16c04</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30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Analiza solo programas nuevos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019f185b-10af-70a2-82cc-80bde64f8e7d</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Arreglar catálogo y descargas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019f1d85-aeb4-79b1-b197-25ba6b365f90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7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Mueve estilos a carpeta css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019f3c3a-9a0a-7981-b34d-e09ff2154873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7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Refactoriza scraper de Winstall</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019f3c5a-7dfc-7812-96c1-4c802afc0a86</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compatibilidad con ghcr.io</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019f4120-adf8-74f1-ade0-aa4a13284e46</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11-16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Plan refactor scraper y servicios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019f50d9-0e3f-7170-8da5-5e6e70db6c20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Corrige la web y memoria LaTeX</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019f745e-208b-7362-ac44-f2157b8ceae5</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23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búsqueda semántica</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019f8fd9-ada8-7192-8643-2a7c8e8dcc8d</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26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Revisar bundle Launchers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019f9daa-5a23-78d0-94ad-7d7cca5294b5</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Revisar selector de aplicación</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019fa7f3-20ff-7cf0-9ff5-71bd50ab5631</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Mejora edición manual de apps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019fa81c-b869-7813-9591-4ae4ac4522e3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29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Optimiza el flujo de descargas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019fad74-ebde-7ba0-a686-cb748324d727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29-30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Documentar clases y funciones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019faf60-5470-7fe3-8d73-c3096b92ff33</w:t>
            </w:r>
          </w:p>
        </w:tc>
      </w:tr>
    </w:tbl>
    <w:p>
      <w:pPr>
        <w:spacing w:before="80" w:after="80"/>
      </w:pPr>
    </w:p>
    <w:p>
      <w:pPr>
        <w:pStyle w:val="Heading1"/>
      </w:pPr>
      <w:r>
        <w:t>Apéndice B. Evidencia complementaria</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2200"/>
        <w:gridCol w:w="7160"/>
      </w:tblGrid>
      <w:tr>
        <w:trPr>
          <w:tblHeader w:val="true"/>
        </w:trPr>
        <w:tc>
          <w:tcPr>
            <w:tcW w:type="dxa" w:w="2200"/>
            <w:tcMar>
              <w:top w:w="80" w:type="dxa"/>
              <w:start w:w="120" w:type="dxa"/>
              <w:bottom w:w="80" w:type="dxa"/>
              <w:end w:w="120" w:type="dxa"/>
            </w:tcMar>
            <w:vAlign w:val="center"/>
            <w:shd w:fill="E8EEF5" w:val="clear"/>
          </w:tcPr>
          <w:p>
            <w:pPr>
              <w:spacing w:after="0"/>
            </w:pPr>
            <w:r>
              <w:rPr>
                <w:rFonts w:ascii="Calibri" w:hAnsi="Calibri"/>
                <w:b/>
                <w:color w:val="123A63"/>
                <w:sz w:val="18"/>
              </w:rPr>
              <w:t>Fuente</w:t>
            </w:r>
          </w:p>
        </w:tc>
        <w:tc>
          <w:tcPr>
            <w:tcW w:type="dxa" w:w="7160"/>
            <w:tcMar>
              <w:top w:w="80" w:type="dxa"/>
              <w:start w:w="120" w:type="dxa"/>
              <w:bottom w:w="80" w:type="dxa"/>
              <w:end w:w="120" w:type="dxa"/>
            </w:tcMar>
            <w:vAlign w:val="center"/>
            <w:shd w:fill="E8EEF5" w:val="clear"/>
          </w:tcPr>
          <w:p>
            <w:pPr>
              <w:spacing w:after="0"/>
            </w:pPr>
            <w:r>
              <w:rPr>
                <w:rFonts w:ascii="Calibri" w:hAnsi="Calibri"/>
                <w:b/>
                <w:color w:val="123A63"/>
                <w:sz w:val="18"/>
              </w:rPr>
              <w:t>Uso en el informe</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Git local</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115 commits visibles entre 16 de junio y 29 de julio; HEAD 47038416a1baac7262c743a71205dd3f8aa6b4dd; rama development; 310 ficheros modificados localmente por documentación.</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README.md</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Describe Compose local/GHCR, búsqueda lexical|semantic, administración de modelos, flujos administrativos y descargas progresivas con PACKAGING, MANUAL_ONLY, overlay y accesos .url.</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.github/copilot-instructions.md</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Consolida propietarios de datos, seguridad, estados públicos, reglas de promoción, nuevos flujos administrativos, metadatos internos de descarga y orden solicitado con relevancia como desempate.</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docker-compose.yml</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docker compose config --services volvió a enumerar 16 servicios en local y GHCR; el worker depende de Core con service_started y recibe URL/timeout.</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Memoria LaTeX</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El árbol hermano mantiene 20 archivos versionados modificados y seis no versionados; memoria.pdf es del 23 de julio y anexos.pdf del 21. Las fuentes siguen describiendo búsqueda híbrida/RRF, ausencia de pantalla de modelos y un flujo de descarga anterior.</w:t>
            </w:r>
          </w:p>
        </w:tc>
      </w:tr>
    </w:tbl>
    <w:p>
      <w:pPr>
        <w:spacing w:before="80" w:after="80"/>
      </w:pPr>
    </w:p>
    <w:p>
      <w:pPr>
        <w:pStyle w:val="Heading1"/>
      </w:pPr>
      <w:r>
        <w:t>Cierre</w:t>
      </w:r>
    </w:p>
    <w:p>
      <w:r>
        <w:t>Batch-Downloader ya no es solo un descargador por lotes. Es una plataforma de catálogo y resolución de software con trazabilidad, administración asistida, descargas progresivas y búsqueda semántica local. El siguiente salto de madurez consiste en desplegar y verificar el nuevo flujo de entrega, revisar y confirmar la documentación técnica pendiente, cerrar la evaluación semántica completa y sincronizar la memoria LaTeX sin rebajar las invariantes operativas que surgieron de problemas reales.</w:t>
      </w:r>
    </w:p>
    <w:sectPr w:rsidR="00FC693F" w:rsidRPr="0006063C" w:rsidSect="00034616">
      <w:headerReference w:type="default" r:id="rId9"/>
      <w:footerReference w:type="default" r:id="rId10"/>
      <w:footerReference w:type="first" r:id="rId12"/>
      <w:footerReference w:type="even" r:id="rId13"/>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8"/>
        <w:sz w:val="17"/>
      </w:rPr>
      <w:t xml:space="preserve">30 de julio de 2026  |  </w:t>
    </w:r>
    <w:r>
      <w:rPr>
        <w:rFonts w:ascii="Calibri" w:hAnsi="Calibri"/>
        <w:color w:val="5F6B78"/>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4" w:color="D7DDE5"/>
      </w:pBdr>
    </w:pPr>
    <w:r>
      <w:rPr>
        <w:rFonts w:ascii="Calibri" w:hAnsi="Calibri"/>
        <w:b/>
        <w:color w:val="5F6B78"/>
        <w:sz w:val="17"/>
      </w:rPr>
      <w:t>BATCH-DOWNLOADER  |  INFORME DE EVOLUCIÓN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
  <cp:revision>1</cp:revision>
  <dcterms:created xsi:type="dcterms:W3CDTF">2013-12-23T23:15:00Z</dcterms:created>
  <dcterms:modified xsi:type="dcterms:W3CDTF">2026-07-29T11:44:06Z</dcterms:modified>
  <cp:category/>
</cp:coreProperties>
</file>