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8"/>
        <w:ind w:right="0" w:left="37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PRUEBA PARCIAL N°1</w:t>
      </w:r>
    </w:p>
    <w:p>
      <w:pPr>
        <w:spacing w:before="0" w:after="0" w:line="248"/>
        <w:ind w:right="0" w:left="37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MDY3131 FORMA C</w:t>
      </w:r>
    </w:p>
    <w:tbl>
      <w:tblPr/>
      <w:tblGrid>
        <w:gridCol w:w="6075"/>
        <w:gridCol w:w="4557"/>
      </w:tblGrid>
      <w:tr>
        <w:trPr>
          <w:trHeight w:val="491" w:hRule="auto"/>
          <w:jc w:val="left"/>
        </w:trPr>
        <w:tc>
          <w:tcPr>
            <w:tcW w:w="10632" w:type="dxa"/>
            <w:gridSpan w:val="2"/>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w:t>
            </w:r>
          </w:p>
        </w:tc>
      </w:tr>
      <w:tr>
        <w:trPr>
          <w:trHeight w:val="432" w:hRule="auto"/>
          <w:jc w:val="left"/>
        </w:trPr>
        <w:tc>
          <w:tcPr>
            <w:tcW w:w="6075" w:type="dxa"/>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SECCIÓN: </w:t>
            </w:r>
          </w:p>
        </w:tc>
        <w:tc>
          <w:tcPr>
            <w:tcW w:w="4557" w:type="dxa"/>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FECHA: </w:t>
            </w: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1.- DETALLE EVALUACIÓN</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tbl>
      <w:tblPr/>
      <w:tblGrid>
        <w:gridCol w:w="10632"/>
      </w:tblGrid>
      <w:tr>
        <w:trPr>
          <w:trHeight w:val="866" w:hRule="auto"/>
          <w:jc w:val="left"/>
        </w:trPr>
        <w:tc>
          <w:tcPr>
            <w:tcW w:w="106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9" w:line="248"/>
              <w:ind w:right="0" w:left="370" w:hanging="10"/>
              <w:jc w:val="both"/>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EXPERIENCIA DE APRENDIZAJE 1: Construyendo Bloques Anónimos PL/SQL Simples</w:t>
            </w:r>
          </w:p>
        </w:tc>
      </w:tr>
      <w:tr>
        <w:trPr>
          <w:trHeight w:val="2365" w:hRule="auto"/>
          <w:jc w:val="left"/>
        </w:trPr>
        <w:tc>
          <w:tcPr>
            <w:tcW w:w="106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9" w:line="248"/>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COMPETENCIAS Y APRENDIZAJES EVALUADOS:</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Competencia de Especialidad: Programar consultas o rutinas para manipular información de una base de datos de acuerdo con los requerimientos de la organización.</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Competencia de Empleabilidad Resolución de Problemas N1: Identificar y analizar un problema para generar alternativas de solución, aplicando los métodos aprendidos.</w:t>
            </w:r>
          </w:p>
          <w:p>
            <w:pPr>
              <w:numPr>
                <w:ilvl w:val="0"/>
                <w:numId w:val="14"/>
              </w:numPr>
              <w:spacing w:before="0" w:after="0" w:line="240"/>
              <w:ind w:right="0" w:left="720" w:hanging="360"/>
              <w:jc w:val="both"/>
              <w:rPr>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Unidad de Competencia de Especialidad: </w:t>
            </w:r>
            <w:r>
              <w:rPr>
                <w:rFonts w:ascii="Times New Roman" w:hAnsi="Times New Roman" w:cs="Times New Roman" w:eastAsia="Times New Roman"/>
                <w:color w:val="auto"/>
                <w:spacing w:val="0"/>
                <w:position w:val="0"/>
                <w:sz w:val="22"/>
                <w:shd w:fill="auto" w:val="clear"/>
              </w:rPr>
              <w:t xml:space="preserve">Desarrolla operaciones sobre la base de datos que permitan administrar los objetos de la misma de acuerdo con requerimientos de usuario y buenas prácticas de la industria. </w:t>
            </w:r>
            <w:r>
              <w:rPr>
                <w:rFonts w:ascii="Times New Roman" w:hAnsi="Times New Roman" w:cs="Times New Roman" w:eastAsia="Times New Roman"/>
                <w:b/>
                <w:color w:val="auto"/>
                <w:spacing w:val="0"/>
                <w:position w:val="0"/>
                <w:sz w:val="22"/>
                <w:shd w:fill="auto" w:val="clear"/>
              </w:rPr>
              <w:t xml:space="preserve">Aprendizajes Procedimentales:</w:t>
            </w:r>
            <w:r>
              <w:rPr>
                <w:rFonts w:ascii="Times New Roman" w:hAnsi="Times New Roman" w:cs="Times New Roman" w:eastAsia="Times New Roman"/>
                <w:color w:val="auto"/>
                <w:spacing w:val="0"/>
                <w:position w:val="0"/>
                <w:sz w:val="22"/>
                <w:shd w:fill="auto" w:val="clear"/>
              </w:rPr>
              <w:t xml:space="preserve"> Construir bloques anónimos PL/SQL complejos que procesen datos para solucionar los requerimientos de información planteados</w:t>
            </w:r>
          </w:p>
        </w:tc>
      </w:tr>
    </w:tbl>
    <w:p>
      <w:pPr>
        <w:spacing w:before="0" w:after="9" w:line="248"/>
        <w:ind w:right="0" w:left="370" w:hanging="10"/>
        <w:jc w:val="both"/>
        <w:rPr>
          <w:rFonts w:ascii="Times New Roman" w:hAnsi="Times New Roman" w:cs="Times New Roman" w:eastAsia="Times New Roman"/>
          <w:b/>
          <w:color w:val="000000"/>
          <w:spacing w:val="0"/>
          <w:position w:val="0"/>
          <w:sz w:val="22"/>
          <w:shd w:fill="auto" w:val="clear"/>
        </w:rPr>
      </w:pPr>
    </w:p>
    <w:p>
      <w:pPr>
        <w:spacing w:before="0" w:after="9" w:line="248"/>
        <w:ind w:right="0" w:left="370" w:hanging="1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2.- PUNTAJES, PORCENTAJES Y NOTAS</w:t>
      </w:r>
    </w:p>
    <w:tbl>
      <w:tblPr/>
      <w:tblGrid>
        <w:gridCol w:w="1843"/>
        <w:gridCol w:w="1701"/>
        <w:gridCol w:w="1985"/>
        <w:gridCol w:w="1362"/>
      </w:tblGrid>
      <w:tr>
        <w:trPr>
          <w:trHeight w:val="1" w:hRule="atLeast"/>
          <w:jc w:val="left"/>
        </w:trPr>
        <w:tc>
          <w:tcPr>
            <w:tcW w:w="1843"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Dimensión</w:t>
            </w:r>
          </w:p>
        </w:tc>
        <w:tc>
          <w:tcPr>
            <w:tcW w:w="1701"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Puntaje Máximo</w:t>
            </w:r>
          </w:p>
          <w:p>
            <w:pPr>
              <w:spacing w:before="0" w:after="0" w:line="240"/>
              <w:ind w:right="0" w:left="370" w:hanging="1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Dimensión</w:t>
            </w:r>
          </w:p>
        </w:tc>
        <w:tc>
          <w:tcPr>
            <w:tcW w:w="198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Puntaje Obtenido Dimensión</w:t>
            </w:r>
          </w:p>
        </w:tc>
        <w:tc>
          <w:tcPr>
            <w:tcW w:w="1362"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1" w:hanging="1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Nota Final Dimensión</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both"/>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Disciplinar</w:t>
            </w:r>
          </w:p>
        </w:tc>
        <w:tc>
          <w:tcPr>
            <w:tcW w:w="1701"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42 (60% 4.0)</w:t>
            </w:r>
          </w:p>
        </w:tc>
        <w:tc>
          <w:tcPr>
            <w:tcW w:w="198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Calibri" w:hAnsi="Calibri" w:cs="Calibri" w:eastAsia="Calibri"/>
                <w:color w:val="auto"/>
                <w:spacing w:val="0"/>
                <w:position w:val="0"/>
                <w:sz w:val="22"/>
                <w:shd w:fill="auto" w:val="clear"/>
              </w:rPr>
            </w:pPr>
          </w:p>
        </w:tc>
      </w:tr>
    </w:tbl>
    <w:p>
      <w:pPr>
        <w:spacing w:before="0" w:after="9" w:line="248"/>
        <w:ind w:right="0" w:left="370" w:hanging="10"/>
        <w:jc w:val="both"/>
        <w:rPr>
          <w:rFonts w:ascii="Times New Roman" w:hAnsi="Times New Roman" w:cs="Times New Roman" w:eastAsia="Times New Roman"/>
          <w:b/>
          <w:color w:val="000000"/>
          <w:spacing w:val="0"/>
          <w:position w:val="0"/>
          <w:sz w:val="22"/>
          <w:shd w:fill="auto" w:val="clear"/>
        </w:rPr>
      </w:pPr>
    </w:p>
    <w:p>
      <w:pPr>
        <w:spacing w:before="0" w:after="0" w:line="248"/>
        <w:ind w:right="0" w:left="0" w:hanging="1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3.- INSTRUCCIONES GENERALES</w:t>
      </w:r>
    </w:p>
    <w:p>
      <w:pPr>
        <w:spacing w:before="0" w:after="0" w:line="248"/>
        <w:ind w:right="0" w:left="370" w:hanging="10"/>
        <w:jc w:val="both"/>
        <w:rPr>
          <w:rFonts w:ascii="Times New Roman" w:hAnsi="Times New Roman" w:cs="Times New Roman" w:eastAsia="Times New Roman"/>
          <w:b/>
          <w:color w:val="C00000"/>
          <w:spacing w:val="0"/>
          <w:position w:val="0"/>
          <w:sz w:val="22"/>
          <w:shd w:fill="auto" w:val="clear"/>
        </w:rPr>
      </w:pP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Puede hacer uso de las presentaciones de la asignatura y/o apuntes personales como material de consulta, durante el desarrollo de la prueba.</w:t>
      </w: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Desarrolle los casos planteados usando la herramienta Oracle SQLDeveloper.  </w:t>
      </w: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Los casos están planteados sobre el Modelo que se adjunta como </w:t>
      </w:r>
      <w:r>
        <w:rPr>
          <w:rFonts w:ascii="Times New Roman" w:hAnsi="Times New Roman" w:cs="Times New Roman" w:eastAsia="Times New Roman"/>
          <w:b/>
          <w:color w:val="000000"/>
          <w:spacing w:val="0"/>
          <w:position w:val="0"/>
          <w:sz w:val="22"/>
          <w:shd w:fill="auto" w:val="clear"/>
        </w:rPr>
        <w:t xml:space="preserve">Anexo “A”</w:t>
      </w:r>
      <w:r>
        <w:rPr>
          <w:rFonts w:ascii="Times New Roman" w:hAnsi="Times New Roman" w:cs="Times New Roman" w:eastAsia="Times New Roman"/>
          <w:color w:val="000000"/>
          <w:spacing w:val="0"/>
          <w:position w:val="0"/>
          <w:sz w:val="22"/>
          <w:shd w:fill="auto" w:val="clear"/>
        </w:rPr>
        <w:t xml:space="preserve">. Para ello se debe utilizar la base de datos ya cargada en el computador institucional, con el esquema HR de Oracle.</w:t>
      </w:r>
    </w:p>
    <w:p>
      <w:pPr>
        <w:numPr>
          <w:ilvl w:val="0"/>
          <w:numId w:val="28"/>
        </w:numPr>
        <w:tabs>
          <w:tab w:val="left" w:pos="720" w:leader="none"/>
        </w:tabs>
        <w:spacing w:before="0" w:after="0" w:line="240"/>
        <w:ind w:right="0" w:left="426"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 trabajar con los valores REDONDEADOS a enteros sin decimales cuando sea necesario.</w:t>
      </w:r>
    </w:p>
    <w:p>
      <w:pPr>
        <w:numPr>
          <w:ilvl w:val="0"/>
          <w:numId w:val="28"/>
        </w:numPr>
        <w:tabs>
          <w:tab w:val="left" w:pos="720" w:leader="none"/>
        </w:tabs>
        <w:spacing w:before="0" w:after="0" w:line="240"/>
        <w:ind w:right="0" w:left="426"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El proceso debe ser capaz de </w:t>
      </w:r>
      <w:r>
        <w:rPr>
          <w:rFonts w:ascii="Times New Roman" w:hAnsi="Times New Roman" w:cs="Times New Roman" w:eastAsia="Times New Roman"/>
          <w:color w:val="auto"/>
          <w:spacing w:val="0"/>
          <w:position w:val="0"/>
          <w:sz w:val="22"/>
          <w:shd w:fill="auto" w:val="clear"/>
        </w:rPr>
        <w:t xml:space="preserve">obtener la información </w:t>
      </w:r>
      <w:r>
        <w:rPr>
          <w:rFonts w:ascii="Times New Roman" w:hAnsi="Times New Roman" w:cs="Times New Roman" w:eastAsia="Times New Roman"/>
          <w:b/>
          <w:color w:val="auto"/>
          <w:spacing w:val="0"/>
          <w:position w:val="0"/>
          <w:sz w:val="22"/>
          <w:shd w:fill="auto" w:val="clear"/>
        </w:rPr>
        <w:t xml:space="preserve">en forma paramétrica</w:t>
      </w:r>
      <w:r>
        <w:rPr>
          <w:rFonts w:ascii="Times New Roman" w:hAnsi="Times New Roman" w:cs="Times New Roman" w:eastAsia="Times New Roman"/>
          <w:color w:val="auto"/>
          <w:spacing w:val="0"/>
          <w:position w:val="0"/>
          <w:sz w:val="22"/>
          <w:shd w:fill="auto" w:val="clear"/>
        </w:rPr>
        <w:t xml:space="preserve">. Esto significa que, si se usan fechas, se </w:t>
      </w:r>
      <w:r>
        <w:rPr>
          <w:rFonts w:ascii="Times New Roman" w:hAnsi="Times New Roman" w:cs="Times New Roman" w:eastAsia="Times New Roman"/>
          <w:b/>
          <w:color w:val="auto"/>
          <w:spacing w:val="0"/>
          <w:position w:val="0"/>
          <w:sz w:val="22"/>
          <w:shd w:fill="auto" w:val="clear"/>
        </w:rPr>
        <w:t xml:space="preserve">deben usar las funciones adecuadas para obtener las fechas necesarias y NO INGRESAR FECHAS FIJAS</w:t>
      </w:r>
      <w:r>
        <w:rPr>
          <w:rFonts w:ascii="Times New Roman" w:hAnsi="Times New Roman" w:cs="Times New Roman" w:eastAsia="Times New Roman"/>
          <w:color w:val="auto"/>
          <w:spacing w:val="0"/>
          <w:position w:val="0"/>
          <w:sz w:val="22"/>
          <w:shd w:fill="auto" w:val="clear"/>
        </w:rPr>
        <w:t xml:space="preserve">.</w:t>
      </w: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firstLine="36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NOTA </w:t>
      </w:r>
    </w:p>
    <w:p>
      <w:pPr>
        <w:spacing w:before="0" w:after="0" w:line="259"/>
        <w:ind w:right="0" w:left="284"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Los resultados que se proporcionan corresponden al resultado completo que el proceso debe generar</w:t>
      </w: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CONTEXTO: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Arial" w:hAnsi="Arial" w:cs="Arial" w:eastAsia="Arial"/>
          <w:color w:val="000000"/>
          <w:spacing w:val="0"/>
          <w:position w:val="0"/>
          <w:sz w:val="22"/>
          <w:shd w:fill="auto" w:val="clear"/>
        </w:rPr>
      </w:pPr>
      <w:r>
        <w:object w:dxaOrig="4433" w:dyaOrig="3614">
          <v:rect xmlns:o="urn:schemas-microsoft-com:office:office" xmlns:v="urn:schemas-microsoft-com:vml" id="rectole0000000000" style="width:221.650000pt;height:18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2"/>
          <w:shd w:fill="auto" w:val="clear"/>
        </w:rPr>
        <w:t xml:space="preserve">El ‘Vende todo’ es una importadora de productos de todo tipo, según la temporada.</w:t>
      </w:r>
    </w:p>
    <w:p>
      <w:pPr>
        <w:spacing w:before="0" w:after="9" w:line="248"/>
        <w:ind w:right="52" w:left="10" w:hanging="10"/>
        <w:jc w:val="both"/>
        <w:rPr>
          <w:rFonts w:ascii="Arial" w:hAnsi="Arial" w:cs="Arial" w:eastAsia="Arial"/>
          <w:color w:val="000000"/>
          <w:spacing w:val="0"/>
          <w:position w:val="0"/>
          <w:sz w:val="22"/>
          <w:shd w:fill="auto" w:val="clear"/>
        </w:rPr>
      </w:pPr>
    </w:p>
    <w:p>
      <w:pPr>
        <w:spacing w:before="0" w:after="9" w:line="248"/>
        <w:ind w:right="52"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ello, cuenta con trabajadores alrededor del mundo que le permiten negociar, encontrar nuevos productos, o atender sus tareas desde cualquier parte del mundo.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Recientemente se adoptó la idea de que todo el trabajo que se pueda realizar de manera remota, se debe hacer remoto, para beneficiar los tiempos y calidad de vida de los empleados. Por esta preocupación y cuidado para sus empleados, el Vende Todo, busca atender las necesidades económicas de sus trabajadores. Como política de empresa, entienden que:” Trabajadores felices, clientes felices”</w:t>
      </w:r>
    </w:p>
    <w:p>
      <w:pPr>
        <w:spacing w:before="0" w:after="9" w:line="248"/>
        <w:ind w:right="52" w:left="10" w:hanging="1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término de la pandemia, muchos trabajadores decidieron emigrar, muchos cambiando su país desde el cual trabajan, y como la empresa desea que sus trabajadores estén felices, uno de los factores que afecta el monto del sueldo es el lugar desde donde desempeñan sus labores. </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Hasta ahora se a actualizado la lista de empleados y sus nuevos lugares de trabajo, pero se debe recalcular los salarios de los trabajadores dependiendo de los nuevos factores. Por este motivo usted a sido contratado. Para que automatice de la mejor manera el proceso, que de otra forma lo harían de manera manual al momento de pagar los sueldos.</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ello usted tendrá acceso a la base de datos, con los registros de toda la empresa, por lo cual debe ser cuidadoso y cauteloso al momento de manipular la base de datos.</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mismo tiempo se busca mejorar los tiempos de cálculos del departamento de recursos humanos, por lo que se le podrán entregar más condiciones para calcular los nuevos sueldos.</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 </w:t>
      </w:r>
      <w:r>
        <w:rPr>
          <w:rFonts w:ascii="Times New Roman" w:hAnsi="Times New Roman" w:cs="Times New Roman" w:eastAsia="Times New Roman"/>
          <w:b/>
          <w:color w:val="000000"/>
          <w:spacing w:val="0"/>
          <w:position w:val="0"/>
          <w:sz w:val="22"/>
          <w:u w:val="single"/>
          <w:shd w:fill="auto" w:val="clear"/>
        </w:rPr>
        <w:t xml:space="preserve">REGLAS DEL NEGOCIO</w:t>
      </w: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4"/>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both"/>
        <w:rPr>
          <w:rFonts w:ascii="Times New Roman" w:hAnsi="Times New Roman" w:cs="Times New Roman" w:eastAsia="Times New Roman"/>
          <w:color w:val="000000"/>
          <w:spacing w:val="0"/>
          <w:position w:val="0"/>
          <w:sz w:val="12"/>
          <w:shd w:fill="auto" w:val="clear"/>
        </w:rPr>
      </w:pPr>
    </w:p>
    <w:p>
      <w:pPr>
        <w:spacing w:before="0" w:after="9" w:line="248"/>
        <w:ind w:right="52" w:left="0" w:firstLine="708"/>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708"/>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 </w:t>
      </w:r>
      <w:r>
        <w:rPr>
          <w:rFonts w:ascii="Times New Roman" w:hAnsi="Times New Roman" w:cs="Times New Roman" w:eastAsia="Times New Roman"/>
          <w:b/>
          <w:color w:val="000000"/>
          <w:spacing w:val="0"/>
          <w:position w:val="0"/>
          <w:sz w:val="22"/>
          <w:shd w:fill="auto" w:val="clear"/>
        </w:rPr>
        <w:t xml:space="preserve">RECALCULAR SUELDO SEGÚN REGION EN LA QUE TRABAJEN</w:t>
      </w:r>
    </w:p>
    <w:p>
      <w:pPr>
        <w:spacing w:before="0" w:after="9" w:line="248"/>
        <w:ind w:right="52" w:left="708"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 REALIDAD DE LOS TRABAJADORES DE VENDETODO, ES MUY DIFERENTE DEPENDIENDO DE LA REGION DEL MUNDO EN DONDE REALICEN SUS LABORES, ALGUNAS SE HAN VISTO MAS AFECTADAS QUE OTRAS, POR LO QUE SE RECALCULARÁ EL SUELDO SEGUN LA REGION QUE TENGA ASIGNADA EL TRABAJADOR, DADO POR:</w:t>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tbl>
      <w:tblPr/>
      <w:tblGrid>
        <w:gridCol w:w="2195"/>
        <w:gridCol w:w="1200"/>
      </w:tblGrid>
      <w:tr>
        <w:trPr>
          <w:trHeight w:val="300" w:hRule="auto"/>
          <w:jc w:val="center"/>
        </w:trPr>
        <w:tc>
          <w:tcPr>
            <w:tcW w:w="2195"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Europe</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15%</w:t>
            </w:r>
          </w:p>
        </w:tc>
      </w:tr>
      <w:tr>
        <w:trPr>
          <w:trHeight w:val="300" w:hRule="auto"/>
          <w:jc w:val="center"/>
        </w:trPr>
        <w:tc>
          <w:tcPr>
            <w:tcW w:w="2195"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Americas</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21%</w:t>
            </w:r>
          </w:p>
        </w:tc>
      </w:tr>
      <w:tr>
        <w:trPr>
          <w:trHeight w:val="345" w:hRule="auto"/>
          <w:jc w:val="center"/>
        </w:trPr>
        <w:tc>
          <w:tcPr>
            <w:tcW w:w="2195"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Asia</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w:t>
            </w:r>
          </w:p>
        </w:tc>
      </w:tr>
      <w:tr>
        <w:trPr>
          <w:trHeight w:val="300" w:hRule="auto"/>
          <w:jc w:val="center"/>
        </w:trPr>
        <w:tc>
          <w:tcPr>
            <w:tcW w:w="2195"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Middle East and Africa</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bl>
    <w:p>
      <w:pPr>
        <w:spacing w:before="0" w:after="9" w:line="248"/>
        <w:ind w:right="52"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 PARA COMPENSAR LAS DIFERENCIAS SALARIALES ENTRE DEPARTAMENTOS DE LA EMPRESA, SE ENTREGARÁ UN </w:t>
      </w:r>
      <w:r>
        <w:rPr>
          <w:rFonts w:ascii="Times New Roman" w:hAnsi="Times New Roman" w:cs="Times New Roman" w:eastAsia="Times New Roman"/>
          <w:b/>
          <w:color w:val="000000"/>
          <w:spacing w:val="0"/>
          <w:position w:val="0"/>
          <w:sz w:val="22"/>
          <w:shd w:fill="auto" w:val="clear"/>
        </w:rPr>
        <w:t xml:space="preserve">BONO </w:t>
      </w:r>
      <w:r>
        <w:rPr>
          <w:rFonts w:ascii="Times New Roman" w:hAnsi="Times New Roman" w:cs="Times New Roman" w:eastAsia="Times New Roman"/>
          <w:color w:val="000000"/>
          <w:spacing w:val="0"/>
          <w:position w:val="0"/>
          <w:sz w:val="22"/>
          <w:shd w:fill="auto" w:val="clear"/>
        </w:rPr>
        <w:t xml:space="preserve">A CADA UNO DE </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LOS TRABAJADORES SEGUN EL DEPARTAMENTO EN EL QUE TRABAJE</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p>
    <w:tbl>
      <w:tblPr>
        <w:tblInd w:w="3277" w:type="dxa"/>
      </w:tblPr>
      <w:tblGrid>
        <w:gridCol w:w="1780"/>
        <w:gridCol w:w="1200"/>
      </w:tblGrid>
      <w:tr>
        <w:trPr>
          <w:trHeight w:val="300" w:hRule="auto"/>
          <w:jc w:val="left"/>
        </w:trPr>
        <w:tc>
          <w:tcPr>
            <w:tcW w:w="178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Sales</w:t>
            </w:r>
          </w:p>
        </w:tc>
        <w:tc>
          <w:tcPr>
            <w:tcW w:w="1200" w:type="dxa"/>
            <w:tcBorders>
              <w:top w:val="single" w:color="000000" w:sz="4"/>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Marketing</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Administration</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Purchasing</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IT</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Shipping</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500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Executive</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r>
      <w:tr>
        <w:trPr>
          <w:trHeight w:val="33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Finance</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Public Relations</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r>
      <w:tr>
        <w:trPr>
          <w:trHeight w:val="300"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Accounting</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285" w:hRule="auto"/>
          <w:jc w:val="left"/>
        </w:trPr>
        <w:tc>
          <w:tcPr>
            <w:tcW w:w="1780" w:type="dxa"/>
            <w:tcBorders>
              <w:top w:val="single" w:color="836967"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Human Resources</w:t>
            </w:r>
          </w:p>
        </w:tc>
        <w:tc>
          <w:tcPr>
            <w:tcW w:w="1200" w:type="dxa"/>
            <w:tcBorders>
              <w:top w:val="single" w:color="836967" w:sz="0"/>
              <w:left w:val="single" w:color="836967"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bl>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4"/>
          <w:shd w:fill="auto" w:val="clear"/>
        </w:rPr>
        <w:t xml:space="preserve">        </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 TODOS LOS CALCULOS TANTO LOS BONOS, COMO LA RECALCULACION DE SUELDO POR LA REGION, DEBEN CONSERVARSE PARA GUARDARLOS DENTRO DE LA TABLA </w:t>
      </w:r>
      <w:r>
        <w:rPr>
          <w:rFonts w:ascii="Times New Roman" w:hAnsi="Times New Roman" w:cs="Times New Roman" w:eastAsia="Times New Roman"/>
          <w:b/>
          <w:color w:val="000000"/>
          <w:spacing w:val="0"/>
          <w:position w:val="0"/>
          <w:sz w:val="22"/>
          <w:shd w:fill="auto" w:val="clear"/>
        </w:rPr>
        <w:t xml:space="preserve">RESUMEN_HABERES</w:t>
      </w:r>
      <w:r>
        <w:rPr>
          <w:rFonts w:ascii="Times New Roman" w:hAnsi="Times New Roman" w:cs="Times New Roman" w:eastAsia="Times New Roman"/>
          <w:color w:val="000000"/>
          <w:spacing w:val="0"/>
          <w:position w:val="0"/>
          <w:sz w:val="22"/>
          <w:shd w:fill="auto" w:val="clear"/>
        </w:rPr>
        <w:t xml:space="preserve">, ESTA TABLA SE DEBN GUARDAR:</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ID_EMP</w:t>
      </w:r>
      <w:r>
        <w:rPr>
          <w:rFonts w:ascii="Times New Roman" w:hAnsi="Times New Roman" w:cs="Times New Roman" w:eastAsia="Times New Roman"/>
          <w:color w:val="000000"/>
          <w:spacing w:val="0"/>
          <w:position w:val="0"/>
          <w:sz w:val="22"/>
          <w:shd w:fill="auto" w:val="clear"/>
        </w:rPr>
        <w:t xml:space="preserve"> </w:t>
        <w:tab/>
        <w:tab/>
        <w:t xml:space="preserve">ID DEL EMPLEADO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APELLIDO_EMP</w:t>
      </w:r>
      <w:r>
        <w:rPr>
          <w:rFonts w:ascii="Times New Roman" w:hAnsi="Times New Roman" w:cs="Times New Roman" w:eastAsia="Times New Roman"/>
          <w:color w:val="000000"/>
          <w:spacing w:val="0"/>
          <w:position w:val="0"/>
          <w:sz w:val="22"/>
          <w:shd w:fill="auto" w:val="clear"/>
        </w:rPr>
        <w:tab/>
        <w:t xml:space="preserve">APELLIDO DEL EMPLEADO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SUEL_ANT</w:t>
      </w:r>
      <w:r>
        <w:rPr>
          <w:rFonts w:ascii="Times New Roman" w:hAnsi="Times New Roman" w:cs="Times New Roman" w:eastAsia="Times New Roman"/>
          <w:color w:val="000000"/>
          <w:spacing w:val="0"/>
          <w:position w:val="0"/>
          <w:sz w:val="22"/>
          <w:shd w:fill="auto" w:val="clear"/>
        </w:rPr>
        <w:tab/>
        <w:tab/>
        <w:t xml:space="preserve">SUELDO ORIGINAL</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SUEL_RECAL</w:t>
      </w:r>
      <w:r>
        <w:rPr>
          <w:rFonts w:ascii="Times New Roman" w:hAnsi="Times New Roman" w:cs="Times New Roman" w:eastAsia="Times New Roman"/>
          <w:color w:val="000000"/>
          <w:spacing w:val="0"/>
          <w:position w:val="0"/>
          <w:sz w:val="22"/>
          <w:shd w:fill="auto" w:val="clear"/>
        </w:rPr>
        <w:tab/>
        <w:t xml:space="preserve">SUELDO RECALCULADO, SEGÚN LA REGION</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BONO_DEP</w:t>
      </w:r>
      <w:r>
        <w:rPr>
          <w:rFonts w:ascii="Times New Roman" w:hAnsi="Times New Roman" w:cs="Times New Roman" w:eastAsia="Times New Roman"/>
          <w:color w:val="000000"/>
          <w:spacing w:val="0"/>
          <w:position w:val="0"/>
          <w:sz w:val="22"/>
          <w:shd w:fill="auto" w:val="clear"/>
        </w:rPr>
        <w:tab/>
        <w:tab/>
        <w:t xml:space="preserve">BONO SEGÚN DEPARTAMENTO EN EL QUE TRABAJE</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DESC_LEGALES</w:t>
      </w:r>
      <w:r>
        <w:rPr>
          <w:rFonts w:ascii="Times New Roman" w:hAnsi="Times New Roman" w:cs="Times New Roman" w:eastAsia="Times New Roman"/>
          <w:color w:val="000000"/>
          <w:spacing w:val="0"/>
          <w:position w:val="0"/>
          <w:sz w:val="22"/>
          <w:shd w:fill="auto" w:val="clear"/>
        </w:rPr>
        <w:tab/>
        <w:t xml:space="preserve">EL 12% DEL SUELDO RECALCULADO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TOTAL_HABERES</w:t>
      </w:r>
      <w:r>
        <w:rPr>
          <w:rFonts w:ascii="Times New Roman" w:hAnsi="Times New Roman" w:cs="Times New Roman" w:eastAsia="Times New Roman"/>
          <w:color w:val="000000"/>
          <w:spacing w:val="0"/>
          <w:position w:val="0"/>
          <w:sz w:val="22"/>
          <w:shd w:fill="auto" w:val="clear"/>
        </w:rPr>
        <w:t xml:space="preserve"> </w:t>
        <w:tab/>
        <w:t xml:space="preserve">SUELDO RECALCULADO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DESCUENTOS LEGALES + BONO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tbl>
      <w:tblPr/>
      <w:tblGrid>
        <w:gridCol w:w="850"/>
        <w:gridCol w:w="1529"/>
        <w:gridCol w:w="1616"/>
        <w:gridCol w:w="1256"/>
        <w:gridCol w:w="1303"/>
        <w:gridCol w:w="1478"/>
        <w:gridCol w:w="1649"/>
      </w:tblGrid>
      <w:tr>
        <w:trPr>
          <w:trHeight w:val="300" w:hRule="auto"/>
          <w:jc w:val="left"/>
        </w:trPr>
        <w:tc>
          <w:tcPr>
            <w:tcW w:w="850"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ID_EMP</w:t>
            </w:r>
          </w:p>
        </w:tc>
        <w:tc>
          <w:tcPr>
            <w:tcW w:w="1529"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APELLIDO_EMP</w:t>
            </w:r>
          </w:p>
        </w:tc>
        <w:tc>
          <w:tcPr>
            <w:tcW w:w="1616"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SUEL_ANT</w:t>
            </w:r>
          </w:p>
        </w:tc>
        <w:tc>
          <w:tcPr>
            <w:tcW w:w="1256"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SUEL_RECAL </w:t>
            </w:r>
          </w:p>
        </w:tc>
        <w:tc>
          <w:tcPr>
            <w:tcW w:w="1303"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BONO_DEP</w:t>
            </w:r>
          </w:p>
        </w:tc>
        <w:tc>
          <w:tcPr>
            <w:tcW w:w="1478"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DESC_LEGALES</w:t>
            </w:r>
          </w:p>
        </w:tc>
        <w:tc>
          <w:tcPr>
            <w:tcW w:w="1649"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TOTAL_HABERES</w:t>
            </w:r>
          </w:p>
        </w:tc>
      </w:tr>
      <w:tr>
        <w:trPr>
          <w:trHeight w:val="1395" w:hRule="auto"/>
          <w:jc w:val="left"/>
        </w:trPr>
        <w:tc>
          <w:tcPr>
            <w:tcW w:w="850"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52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61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25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30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47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c>
          <w:tcPr>
            <w:tcW w:w="164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w:t>
            </w:r>
          </w:p>
        </w:tc>
      </w:tr>
    </w:tbl>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37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37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 </w:t>
      </w:r>
      <w:r>
        <w:rPr>
          <w:rFonts w:ascii="Times New Roman" w:hAnsi="Times New Roman" w:cs="Times New Roman" w:eastAsia="Times New Roman"/>
          <w:b/>
          <w:color w:val="000000"/>
          <w:spacing w:val="0"/>
          <w:position w:val="0"/>
          <w:sz w:val="22"/>
          <w:u w:val="single"/>
          <w:shd w:fill="auto" w:val="clear"/>
        </w:rPr>
        <w:t xml:space="preserve">REQUERIMIENTOS MÍNIMOS, EN TÉRMINOS DE DISEÑO, PARA CONSTRUIR EL PROCESO:</w:t>
      </w:r>
      <w:r>
        <w:rPr>
          <w:rFonts w:ascii="Times New Roman" w:hAnsi="Times New Roman" w:cs="Times New Roman" w:eastAsia="Times New Roman"/>
          <w:b/>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Para la construcción del proceso, la Gerencia ha establecido los siguientes requerimientos: </w:t>
      </w:r>
    </w:p>
    <w:p>
      <w:pPr>
        <w:numPr>
          <w:ilvl w:val="0"/>
          <w:numId w:val="126"/>
        </w:numPr>
        <w:spacing w:before="0" w:after="0" w:line="259"/>
        <w:ind w:right="52"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Como primera prueba, el proceso se debe implementar en un Bloque PL/SQL Anónimo y se deben procesar todos los vendedores.</w:t>
      </w:r>
    </w:p>
    <w:p>
      <w:pPr>
        <w:numPr>
          <w:ilvl w:val="0"/>
          <w:numId w:val="126"/>
        </w:numPr>
        <w:spacing w:before="0" w:after="0" w:line="259"/>
        <w:ind w:right="5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eficiencia del proceso, todos los cálculos se deben efectuar en sentencias PL/SQL no en las sentencias SQL utilizadas por el bloque.</w:t>
      </w:r>
    </w:p>
    <w:p>
      <w:pPr>
        <w:numPr>
          <w:ilvl w:val="0"/>
          <w:numId w:val="126"/>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Utilice las estructuras de control condicionales y de iteración que Ud. desee.</w:t>
      </w:r>
    </w:p>
    <w:p>
      <w:pPr>
        <w:numPr>
          <w:ilvl w:val="0"/>
          <w:numId w:val="126"/>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Todos los cálculos deben ser redondeados en valores enteros. </w:t>
      </w:r>
    </w:p>
    <w:p>
      <w:pPr>
        <w:numPr>
          <w:ilvl w:val="0"/>
          <w:numId w:val="126"/>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 información que genere el proceso debe quedar almacenada en la siguiente tabla: </w:t>
      </w:r>
    </w:p>
    <w:p>
      <w:pPr>
        <w:numPr>
          <w:ilvl w:val="0"/>
          <w:numId w:val="126"/>
        </w:numPr>
        <w:spacing w:before="0" w:after="160" w:line="259"/>
        <w:ind w:right="52" w:left="1428"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haberes en la tabla</w:t>
      </w:r>
      <w:r>
        <w:rPr>
          <w:rFonts w:ascii="Times New Roman" w:hAnsi="Times New Roman" w:cs="Times New Roman" w:eastAsia="Times New Roman"/>
          <w:b/>
          <w:color w:val="auto"/>
          <w:spacing w:val="0"/>
          <w:position w:val="0"/>
          <w:sz w:val="22"/>
          <w:shd w:fill="auto" w:val="clear"/>
        </w:rPr>
        <w:t xml:space="preserve"> RESUMEN_HABERES</w:t>
      </w:r>
      <w:r>
        <w:rPr>
          <w:rFonts w:ascii="Times New Roman" w:hAnsi="Times New Roman" w:cs="Times New Roman" w:eastAsia="Times New Roman"/>
          <w:color w:val="auto"/>
          <w:spacing w:val="0"/>
          <w:position w:val="0"/>
          <w:sz w:val="22"/>
          <w:shd w:fill="auto" w:val="clear"/>
        </w:rPr>
        <w:t xml:space="preserve">. </w:t>
      </w:r>
    </w:p>
    <w:p>
      <w:pPr>
        <w:numPr>
          <w:ilvl w:val="0"/>
          <w:numId w:val="126"/>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DEBERA documentar (comentar) a lo menos una de las sentencias SQL y una sentencia PL/SQL del bloque que construya.</w:t>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4">
    <w:abstractNumId w:val="12"/>
  </w:num>
  <w:num w:numId="28">
    <w:abstractNumId w:val="6"/>
  </w:num>
  <w:num w:numId="1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