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155E" w14:textId="22326C58" w:rsidR="00023DED" w:rsidRDefault="001414C6">
      <w:r>
        <w:t xml:space="preserve">Solución- Predecir la salida </w:t>
      </w:r>
    </w:p>
    <w:p w14:paraId="7305C486" w14:textId="77777777" w:rsidR="001414C6" w:rsidRDefault="001414C6"/>
    <w:p w14:paraId="28C5618C" w14:textId="445F36EF" w:rsidR="001414C6" w:rsidRDefault="001414C6">
      <w:r w:rsidRPr="001414C6">
        <w:t xml:space="preserve">A. </w:t>
      </w:r>
      <w:proofErr w:type="spellStart"/>
      <w:r w:rsidRPr="001414C6">
        <w:t>undefined</w:t>
      </w:r>
      <w:proofErr w:type="spellEnd"/>
      <w:r w:rsidRPr="001414C6">
        <w:t xml:space="preserve">, </w:t>
      </w:r>
      <w:proofErr w:type="spellStart"/>
      <w:r w:rsidRPr="001414C6">
        <w:t>var</w:t>
      </w:r>
      <w:proofErr w:type="spellEnd"/>
      <w:r w:rsidRPr="001414C6">
        <w:t xml:space="preserve"> hace </w:t>
      </w:r>
      <w:proofErr w:type="spellStart"/>
      <w:r w:rsidRPr="001414C6">
        <w:t>hoisting</w:t>
      </w:r>
      <w:proofErr w:type="spellEnd"/>
      <w:r w:rsidRPr="001414C6">
        <w:t>; declaración su</w:t>
      </w:r>
      <w:r>
        <w:t xml:space="preserve">be, asignación no. La primera línea no da </w:t>
      </w:r>
      <w:proofErr w:type="spellStart"/>
      <w:r>
        <w:t>errorm</w:t>
      </w:r>
      <w:proofErr w:type="spellEnd"/>
      <w:r>
        <w:t xml:space="preserve"> da </w:t>
      </w:r>
      <w:proofErr w:type="spellStart"/>
      <w:r>
        <w:t>undefined</w:t>
      </w:r>
      <w:proofErr w:type="spellEnd"/>
      <w:r>
        <w:t>.</w:t>
      </w:r>
    </w:p>
    <w:p w14:paraId="78C39285" w14:textId="768E2052" w:rsidR="001414C6" w:rsidRDefault="001414C6">
      <w:r w:rsidRPr="001414C6">
        <w:rPr>
          <w:lang w:val="en-US"/>
        </w:rPr>
        <w:t xml:space="preserve">B. </w:t>
      </w:r>
      <w:proofErr w:type="spellStart"/>
      <w:r w:rsidRPr="001414C6">
        <w:rPr>
          <w:lang w:val="en-US"/>
        </w:rPr>
        <w:t>ReferenceError</w:t>
      </w:r>
      <w:proofErr w:type="spellEnd"/>
      <w:r w:rsidRPr="001414C6">
        <w:rPr>
          <w:lang w:val="en-US"/>
        </w:rPr>
        <w:t xml:space="preserve">, let  </w:t>
      </w:r>
      <w:proofErr w:type="spellStart"/>
      <w:r w:rsidRPr="001414C6">
        <w:rPr>
          <w:lang w:val="en-US"/>
        </w:rPr>
        <w:t>tiene</w:t>
      </w:r>
      <w:proofErr w:type="spellEnd"/>
      <w:r w:rsidRPr="001414C6">
        <w:rPr>
          <w:lang w:val="en-US"/>
        </w:rPr>
        <w:t xml:space="preserve"> TDZ.</w:t>
      </w:r>
      <w:r>
        <w:rPr>
          <w:lang w:val="en-US"/>
        </w:rPr>
        <w:t xml:space="preserve"> </w:t>
      </w:r>
      <w:r w:rsidRPr="001414C6">
        <w:t>Intentar acceder a ‘Y’ antes de s</w:t>
      </w:r>
      <w:r>
        <w:t>u declaración lanza error de referencia</w:t>
      </w:r>
    </w:p>
    <w:p w14:paraId="30E5739E" w14:textId="1E925250" w:rsidR="001414C6" w:rsidRDefault="001414C6">
      <w:r>
        <w:t xml:space="preserve">C. </w:t>
      </w:r>
      <w:proofErr w:type="spellStart"/>
      <w:r>
        <w:t>Type</w:t>
      </w:r>
      <w:proofErr w:type="spellEnd"/>
      <w:r>
        <w:t xml:space="preserve"> Erro en </w:t>
      </w:r>
      <w:proofErr w:type="spellStart"/>
      <w:r>
        <w:t>obj</w:t>
      </w:r>
      <w:proofErr w:type="spellEnd"/>
      <w:r>
        <w:t xml:space="preserve"> = {}</w:t>
      </w:r>
    </w:p>
    <w:p w14:paraId="530A6D47" w14:textId="6E23BC0F" w:rsidR="001414C6" w:rsidRDefault="001414C6">
      <w:proofErr w:type="spellStart"/>
      <w:r>
        <w:t>obj.a</w:t>
      </w:r>
      <w:proofErr w:type="spellEnd"/>
      <w:r>
        <w:t xml:space="preserve"> = 99 es válido (modifica el objeto).Pero </w:t>
      </w:r>
      <w:proofErr w:type="spellStart"/>
      <w:r>
        <w:t>obj</w:t>
      </w:r>
      <w:proofErr w:type="spellEnd"/>
      <w:r>
        <w:t xml:space="preserve"> = {} reasigna el binding </w:t>
      </w:r>
      <w:proofErr w:type="spellStart"/>
      <w:r>
        <w:t>const</w:t>
      </w:r>
      <w:proofErr w:type="spellEnd"/>
      <w:r>
        <w:t xml:space="preserve"> – </w:t>
      </w:r>
      <w:proofErr w:type="spellStart"/>
      <w:r>
        <w:t>TypeError</w:t>
      </w:r>
      <w:proofErr w:type="spellEnd"/>
    </w:p>
    <w:p w14:paraId="7952A2FB" w14:textId="02BDF911" w:rsidR="001414C6" w:rsidRDefault="001414C6">
      <w:r>
        <w:t xml:space="preserve">D. </w:t>
      </w:r>
      <w:proofErr w:type="spellStart"/>
      <w:r>
        <w:t>var</w:t>
      </w:r>
      <w:proofErr w:type="spellEnd"/>
      <w:r>
        <w:t xml:space="preserve"> en el ciclo </w:t>
      </w:r>
      <w:proofErr w:type="spellStart"/>
      <w:r>
        <w:t>for</w:t>
      </w:r>
      <w:proofErr w:type="spellEnd"/>
      <w:r>
        <w:t xml:space="preserve"> escapa del bloque. ‘I’ queda disponible después del ciclo con el valor final (3)</w:t>
      </w:r>
    </w:p>
    <w:p w14:paraId="61A2A0DE" w14:textId="77777777" w:rsidR="001414C6" w:rsidRPr="001414C6" w:rsidRDefault="001414C6"/>
    <w:sectPr w:rsidR="001414C6" w:rsidRPr="001414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ED"/>
    <w:rsid w:val="00023DED"/>
    <w:rsid w:val="001414C6"/>
    <w:rsid w:val="0022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C3733"/>
  <w15:chartTrackingRefBased/>
  <w15:docId w15:val="{1CEACC9E-48B8-4899-B080-8A80E12C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3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3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3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D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D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D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D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D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D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D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D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D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D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401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2</cp:revision>
  <dcterms:created xsi:type="dcterms:W3CDTF">2026-06-18T16:26:00Z</dcterms:created>
  <dcterms:modified xsi:type="dcterms:W3CDTF">2026-06-18T16:32:00Z</dcterms:modified>
</cp:coreProperties>
</file>