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F2652" w14:textId="77777777" w:rsidR="00AF570D" w:rsidRDefault="00AF570D">
      <w:pPr>
        <w:spacing w:after="12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9DDD400" w14:textId="234D4EC9" w:rsidR="00AF570D" w:rsidRPr="00AF570D" w:rsidRDefault="00AF570D">
      <w:pPr>
        <w:spacing w:after="120"/>
        <w:jc w:val="center"/>
        <w:rPr>
          <w:rFonts w:ascii="Arial" w:eastAsia="Arial" w:hAnsi="Arial" w:cs="Arial"/>
        </w:rPr>
      </w:pPr>
      <w:r w:rsidRPr="00AF570D">
        <w:rPr>
          <w:rFonts w:ascii="Arial" w:eastAsia="Arial" w:hAnsi="Arial" w:cs="Arial"/>
        </w:rPr>
        <w:t>Paula Daniela Montenegro-</w:t>
      </w:r>
      <w:proofErr w:type="spellStart"/>
      <w:r w:rsidRPr="00AF570D">
        <w:rPr>
          <w:rFonts w:ascii="Arial" w:eastAsia="Arial" w:hAnsi="Arial" w:cs="Arial"/>
        </w:rPr>
        <w:t>Jose</w:t>
      </w:r>
      <w:proofErr w:type="spellEnd"/>
      <w:r w:rsidRPr="00AF570D">
        <w:rPr>
          <w:rFonts w:ascii="Arial" w:eastAsia="Arial" w:hAnsi="Arial" w:cs="Arial"/>
        </w:rPr>
        <w:t xml:space="preserve"> Manuel </w:t>
      </w:r>
      <w:proofErr w:type="spellStart"/>
      <w:r w:rsidRPr="00AF570D">
        <w:rPr>
          <w:rFonts w:ascii="Arial" w:eastAsia="Arial" w:hAnsi="Arial" w:cs="Arial"/>
        </w:rPr>
        <w:t>Espinsosa-Yerick</w:t>
      </w:r>
      <w:proofErr w:type="spellEnd"/>
      <w:r w:rsidRPr="00AF570D">
        <w:rPr>
          <w:rFonts w:ascii="Arial" w:eastAsia="Arial" w:hAnsi="Arial" w:cs="Arial"/>
        </w:rPr>
        <w:t xml:space="preserve"> </w:t>
      </w:r>
      <w:proofErr w:type="spellStart"/>
      <w:r w:rsidRPr="00AF570D">
        <w:rPr>
          <w:rFonts w:ascii="Arial" w:eastAsia="Arial" w:hAnsi="Arial" w:cs="Arial"/>
        </w:rPr>
        <w:t>Stev</w:t>
      </w:r>
      <w:proofErr w:type="spellEnd"/>
      <w:r w:rsidRPr="00AF570D">
        <w:rPr>
          <w:rFonts w:ascii="Arial" w:eastAsia="Arial" w:hAnsi="Arial" w:cs="Arial"/>
        </w:rPr>
        <w:t xml:space="preserve"> Gonzales</w:t>
      </w:r>
    </w:p>
    <w:p w14:paraId="049E36BC" w14:textId="77777777" w:rsidR="00AF570D" w:rsidRDefault="00AF570D">
      <w:pPr>
        <w:spacing w:after="120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188FC057" w14:textId="44A67814" w:rsidR="008E32D0" w:rsidRDefault="00AF570D">
      <w:pPr>
        <w:spacing w:after="12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Desempeño comercial y estrategia — Restaurante La Analítica</w:t>
      </w:r>
    </w:p>
    <w:p w14:paraId="72E6B454" w14:textId="28B7C67E" w:rsidR="008E32D0" w:rsidRDefault="00AF570D">
      <w:pPr>
        <w:spacing w:after="22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$3,886.56</w:t>
      </w:r>
      <w:r>
        <w:rPr>
          <w:rFonts w:ascii="Arial" w:eastAsia="Arial" w:hAnsi="Arial" w:cs="Arial"/>
          <w:sz w:val="18"/>
          <w:szCs w:val="18"/>
        </w:rPr>
        <w:t xml:space="preserve"> (ingresos </w:t>
      </w:r>
      <w:proofErr w:type="gramStart"/>
      <w:r>
        <w:rPr>
          <w:rFonts w:ascii="Arial" w:eastAsia="Arial" w:hAnsi="Arial" w:cs="Arial"/>
          <w:sz w:val="18"/>
          <w:szCs w:val="18"/>
        </w:rPr>
        <w:t>totales)</w:t>
      </w:r>
      <w:r>
        <w:rPr>
          <w:rFonts w:ascii="Arial" w:eastAsia="Arial" w:hAnsi="Arial" w:cs="Arial"/>
        </w:rPr>
        <w:t xml:space="preserve">   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>-2.0%</w:t>
      </w:r>
      <w:r>
        <w:rPr>
          <w:rFonts w:ascii="Arial" w:eastAsia="Arial" w:hAnsi="Arial" w:cs="Arial"/>
          <w:sz w:val="18"/>
          <w:szCs w:val="18"/>
        </w:rPr>
        <w:t xml:space="preserve"> (variación semanal)</w:t>
      </w:r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b/>
          <w:bCs/>
          <w:sz w:val="22"/>
          <w:szCs w:val="22"/>
        </w:rPr>
        <w:t>20.8%</w:t>
      </w:r>
      <w:r>
        <w:rPr>
          <w:rFonts w:ascii="Arial" w:eastAsia="Arial" w:hAnsi="Arial" w:cs="Arial"/>
          <w:sz w:val="18"/>
          <w:szCs w:val="18"/>
        </w:rPr>
        <w:t xml:space="preserve"> (recurrencia)</w:t>
      </w:r>
    </w:p>
    <w:p w14:paraId="17A0E631" w14:textId="77777777" w:rsidR="008E32D0" w:rsidRDefault="00AF570D">
      <w:pPr>
        <w:spacing w:before="140" w:after="60"/>
      </w:pPr>
      <w:r>
        <w:rPr>
          <w:rFonts w:ascii="Arial" w:eastAsia="Arial" w:hAnsi="Arial" w:cs="Arial"/>
          <w:b/>
          <w:bCs/>
          <w:sz w:val="24"/>
          <w:szCs w:val="24"/>
        </w:rPr>
        <w:t>1. Resumen ejecutivo</w:t>
      </w:r>
    </w:p>
    <w:p w14:paraId="12AB9A07" w14:textId="77777777" w:rsidR="008E32D0" w:rsidRDefault="00AF570D">
      <w:pPr>
        <w:spacing w:after="80"/>
        <w:jc w:val="both"/>
      </w:pPr>
      <w:r>
        <w:rPr>
          <w:rFonts w:ascii="Arial" w:eastAsia="Arial" w:hAnsi="Arial" w:cs="Arial"/>
          <w:sz w:val="22"/>
          <w:szCs w:val="22"/>
        </w:rPr>
        <w:t>En las dos primeras semanas de operación, el restaurante generó $3,886.56 en ingresos ($1,962.68 en la semana 1 y $1,923.88 en la semana 2), una variación de -2.0% con el mismo número de registros de venta en ambas semanas (250 y 250). El hallazgo principa</w:t>
      </w:r>
      <w:r>
        <w:rPr>
          <w:rFonts w:ascii="Arial" w:eastAsia="Arial" w:hAnsi="Arial" w:cs="Arial"/>
          <w:sz w:val="22"/>
          <w:szCs w:val="22"/>
        </w:rPr>
        <w:t>l no está en el volumen de ventas, que se mantuvo estable, sino en la fidelización: solo el 20.8% de los clientes de la semana 1 volvió a comprar en la semana 2. Con los datos disponibles (sin costos, cantidades ni descuentos) el análisis se limita a ingre</w:t>
      </w:r>
      <w:r>
        <w:rPr>
          <w:rFonts w:ascii="Arial" w:eastAsia="Arial" w:hAnsi="Arial" w:cs="Arial"/>
          <w:sz w:val="22"/>
          <w:szCs w:val="22"/>
        </w:rPr>
        <w:t>sos, frecuencia de compra y recurrencia; no es posible hablar de rentabilidad, utilidad o margen.</w:t>
      </w:r>
    </w:p>
    <w:p w14:paraId="5C40C92C" w14:textId="77777777" w:rsidR="008E32D0" w:rsidRDefault="00AF570D">
      <w:pPr>
        <w:spacing w:before="140" w:after="60"/>
      </w:pPr>
      <w:r>
        <w:rPr>
          <w:rFonts w:ascii="Arial" w:eastAsia="Arial" w:hAnsi="Arial" w:cs="Arial"/>
          <w:b/>
          <w:bCs/>
          <w:sz w:val="24"/>
          <w:szCs w:val="24"/>
        </w:rPr>
        <w:t>2. Desempeño del menú</w:t>
      </w:r>
    </w:p>
    <w:p w14:paraId="3C727387" w14:textId="77777777" w:rsidR="008E32D0" w:rsidRDefault="00AF570D">
      <w:pPr>
        <w:spacing w:after="80"/>
        <w:jc w:val="both"/>
      </w:pPr>
      <w:r>
        <w:rPr>
          <w:rFonts w:ascii="Arial" w:eastAsia="Arial" w:hAnsi="Arial" w:cs="Arial"/>
          <w:sz w:val="22"/>
          <w:szCs w:val="22"/>
        </w:rPr>
        <w:t>El producto más vendido en número de transacciones no es el que más ingresos genera. El Burrito lidera en frecuencia de compra (57 regis</w:t>
      </w:r>
      <w:r>
        <w:rPr>
          <w:rFonts w:ascii="Arial" w:eastAsia="Arial" w:hAnsi="Arial" w:cs="Arial"/>
          <w:sz w:val="22"/>
          <w:szCs w:val="22"/>
        </w:rPr>
        <w:t xml:space="preserve">tros), mientras que el </w:t>
      </w:r>
      <w:proofErr w:type="spellStart"/>
      <w:r>
        <w:rPr>
          <w:rFonts w:ascii="Arial" w:eastAsia="Arial" w:hAnsi="Arial" w:cs="Arial"/>
          <w:sz w:val="22"/>
          <w:szCs w:val="22"/>
        </w:rPr>
        <w:t>Steak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concentra los mayores ingresos ($1,249.50) con solo 50 registros. Esto ocurre porque el precio unitario del </w:t>
      </w:r>
      <w:proofErr w:type="spellStart"/>
      <w:r>
        <w:rPr>
          <w:rFonts w:ascii="Arial" w:eastAsia="Arial" w:hAnsi="Arial" w:cs="Arial"/>
          <w:sz w:val="22"/>
          <w:szCs w:val="22"/>
        </w:rPr>
        <w:t>Steak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más alto, así que cada venta aporta más </w:t>
      </w:r>
      <w:proofErr w:type="gramStart"/>
      <w:r>
        <w:rPr>
          <w:rFonts w:ascii="Arial" w:eastAsia="Arial" w:hAnsi="Arial" w:cs="Arial"/>
          <w:sz w:val="22"/>
          <w:szCs w:val="22"/>
        </w:rPr>
        <w:t>valor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aunque se venda con menor frecuencia. Frecuencia e ingresos son </w:t>
      </w:r>
      <w:r>
        <w:rPr>
          <w:rFonts w:ascii="Arial" w:eastAsia="Arial" w:hAnsi="Arial" w:cs="Arial"/>
          <w:sz w:val="22"/>
          <w:szCs w:val="22"/>
        </w:rPr>
        <w:t>indicadores complementarios y no intercambiables al decidir sobre el menú.</w:t>
      </w:r>
    </w:p>
    <w:p w14:paraId="0DC6D405" w14:textId="77777777" w:rsidR="008E32D0" w:rsidRDefault="00AF570D">
      <w:pPr>
        <w:spacing w:after="100"/>
        <w:jc w:val="center"/>
      </w:pPr>
      <w:r>
        <w:rPr>
          <w:noProof/>
        </w:rPr>
        <w:drawing>
          <wp:inline distT="0" distB="0" distL="0" distR="0" wp14:anchorId="39B21D44" wp14:editId="011992B9">
            <wp:extent cx="4095750" cy="1466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6C5B" w14:textId="77777777" w:rsidR="008E32D0" w:rsidRDefault="00AF570D">
      <w:pPr>
        <w:spacing w:before="140" w:after="60"/>
      </w:pPr>
      <w:r>
        <w:rPr>
          <w:rFonts w:ascii="Arial" w:eastAsia="Arial" w:hAnsi="Arial" w:cs="Arial"/>
          <w:b/>
          <w:bCs/>
          <w:sz w:val="24"/>
          <w:szCs w:val="24"/>
        </w:rPr>
        <w:t>3. Comportamiento semanal y recurrencia</w:t>
      </w:r>
    </w:p>
    <w:p w14:paraId="34099CCD" w14:textId="77777777" w:rsidR="008E32D0" w:rsidRDefault="00AF570D">
      <w:pPr>
        <w:spacing w:after="80"/>
        <w:jc w:val="both"/>
      </w:pPr>
      <w:r>
        <w:rPr>
          <w:rFonts w:ascii="Arial" w:eastAsia="Arial" w:hAnsi="Arial" w:cs="Arial"/>
          <w:sz w:val="22"/>
          <w:szCs w:val="22"/>
        </w:rPr>
        <w:t>Los registros de venta se mantuvieron idénticos entre semanas (250 y 250), lo que descarta una caída en la afluencia de clientes. Los ingre</w:t>
      </w:r>
      <w:r>
        <w:rPr>
          <w:rFonts w:ascii="Arial" w:eastAsia="Arial" w:hAnsi="Arial" w:cs="Arial"/>
          <w:sz w:val="22"/>
          <w:szCs w:val="22"/>
        </w:rPr>
        <w:t>sos bajaron levemente (-$38.80, -2.0%) y el ingreso promedio por registro pasó de $7.85 a $7.70, lo que sugiere que en la semana 2 los clientes optaron, en promedio, por productos de menor valor; esto es una asociación observada, sin atribuir causalidad co</w:t>
      </w:r>
      <w:r>
        <w:rPr>
          <w:rFonts w:ascii="Arial" w:eastAsia="Arial" w:hAnsi="Arial" w:cs="Arial"/>
          <w:sz w:val="22"/>
          <w:szCs w:val="22"/>
        </w:rPr>
        <w:t>n solo dos semanas de datos. De 221 clientes únicos en la semana 1, únicamente 46 (20.8%) repitieron en la semana 2: la mayoría de la base de clientes es de compra única, lo que representa la mayor oportunidad de mejora identificada.</w:t>
      </w:r>
    </w:p>
    <w:p w14:paraId="6FD131B9" w14:textId="77777777" w:rsidR="008E32D0" w:rsidRDefault="00AF570D">
      <w:pPr>
        <w:spacing w:after="100"/>
        <w:jc w:val="center"/>
      </w:pPr>
      <w:r>
        <w:rPr>
          <w:noProof/>
        </w:rPr>
        <w:drawing>
          <wp:inline distT="0" distB="0" distL="0" distR="0" wp14:anchorId="4D1E6E97" wp14:editId="23857737">
            <wp:extent cx="4095750" cy="1466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A76" w14:textId="77777777" w:rsidR="008E32D0" w:rsidRDefault="00AF570D">
      <w:pPr>
        <w:spacing w:before="140" w:after="60"/>
      </w:pPr>
      <w:r>
        <w:rPr>
          <w:rFonts w:ascii="Arial" w:eastAsia="Arial" w:hAnsi="Arial" w:cs="Arial"/>
          <w:b/>
          <w:bCs/>
          <w:sz w:val="24"/>
          <w:szCs w:val="24"/>
        </w:rPr>
        <w:t>4. Perfil de consumo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recomendación final</w:t>
      </w:r>
    </w:p>
    <w:p w14:paraId="4B9A0C34" w14:textId="77777777" w:rsidR="008E32D0" w:rsidRDefault="00AF570D">
      <w:pPr>
        <w:spacing w:after="80"/>
        <w:jc w:val="both"/>
      </w:pPr>
      <w:r>
        <w:rPr>
          <w:rFonts w:ascii="Arial" w:eastAsia="Arial" w:hAnsi="Arial" w:cs="Arial"/>
          <w:sz w:val="22"/>
          <w:szCs w:val="22"/>
        </w:rPr>
        <w:t>El gasto agregado por ocupación está muy distribuido: las 5 ocupaciones de mayor gasto (</w:t>
      </w:r>
      <w:proofErr w:type="spellStart"/>
      <w:r>
        <w:rPr>
          <w:rFonts w:ascii="Arial" w:eastAsia="Arial" w:hAnsi="Arial" w:cs="Arial"/>
          <w:sz w:val="22"/>
          <w:szCs w:val="22"/>
        </w:rPr>
        <w:t>Compensation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Analyst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Sales Representative, Marketing Manager, </w:t>
      </w:r>
      <w:proofErr w:type="spellStart"/>
      <w:r>
        <w:rPr>
          <w:rFonts w:ascii="Arial" w:eastAsia="Arial" w:hAnsi="Arial" w:cs="Arial"/>
          <w:sz w:val="22"/>
          <w:szCs w:val="22"/>
        </w:rPr>
        <w:t>Cost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Accountant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Assistant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Media </w:t>
      </w:r>
      <w:proofErr w:type="spellStart"/>
      <w:r>
        <w:rPr>
          <w:rFonts w:ascii="Arial" w:eastAsia="Arial" w:hAnsi="Arial" w:cs="Arial"/>
          <w:sz w:val="22"/>
          <w:szCs w:val="22"/>
        </w:rPr>
        <w:t>Planner</w:t>
      </w:r>
      <w:proofErr w:type="spellEnd"/>
      <w:r>
        <w:rPr>
          <w:rFonts w:ascii="Arial" w:eastAsia="Arial" w:hAnsi="Arial" w:cs="Arial"/>
          <w:sz w:val="22"/>
          <w:szCs w:val="22"/>
        </w:rPr>
        <w:t>) representan apenas cerca del 12% de los</w:t>
      </w:r>
      <w:r>
        <w:rPr>
          <w:rFonts w:ascii="Arial" w:eastAsia="Arial" w:hAnsi="Arial" w:cs="Arial"/>
          <w:sz w:val="22"/>
          <w:szCs w:val="22"/>
        </w:rPr>
        <w:t xml:space="preserve"> ingresos totales, entre 142 ocupaciones distintas registradas. No existe un perfil laboral dominante, por lo que no se recomienda segmentar el menú por ocupación individual.</w:t>
      </w:r>
    </w:p>
    <w:p w14:paraId="6FD310D6" w14:textId="77777777" w:rsidR="008E32D0" w:rsidRDefault="00AF570D">
      <w:pPr>
        <w:spacing w:after="80"/>
        <w:jc w:val="both"/>
      </w:pPr>
      <w:r>
        <w:rPr>
          <w:rFonts w:ascii="Arial" w:eastAsia="Arial" w:hAnsi="Arial" w:cs="Arial"/>
          <w:sz w:val="22"/>
          <w:szCs w:val="22"/>
        </w:rPr>
        <w:t>Acción prioritaria: lanzar una campaña de fidelización dirigida a los clientes qu</w:t>
      </w:r>
      <w:r>
        <w:rPr>
          <w:rFonts w:ascii="Arial" w:eastAsia="Arial" w:hAnsi="Arial" w:cs="Arial"/>
          <w:sz w:val="22"/>
          <w:szCs w:val="22"/>
        </w:rPr>
        <w:t xml:space="preserve">e compraron en la semana 1 pero no regresaron en la semana 2 (por ejemplo, un incentivo o descuento de reactivación), ya que la </w:t>
      </w:r>
      <w:r>
        <w:rPr>
          <w:rFonts w:ascii="Arial" w:eastAsia="Arial" w:hAnsi="Arial" w:cs="Arial"/>
          <w:sz w:val="22"/>
          <w:szCs w:val="22"/>
        </w:rPr>
        <w:lastRenderedPageBreak/>
        <w:t>recurrencia del 20.8% es el punto de mayor impacto potencial sobre los ingresos futuros, más que cualquier ajuste al menú.</w:t>
      </w:r>
    </w:p>
    <w:p w14:paraId="0F39DBCE" w14:textId="67D44052" w:rsidR="008E32D0" w:rsidRPr="00AF570D" w:rsidRDefault="008E32D0">
      <w:pPr>
        <w:spacing w:before="200"/>
      </w:pPr>
    </w:p>
    <w:sectPr w:rsidR="008E32D0" w:rsidRPr="00AF570D">
      <w:pgSz w:w="12240" w:h="15840"/>
      <w:pgMar w:top="500" w:right="800" w:bottom="4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F61BF"/>
    <w:multiLevelType w:val="hybridMultilevel"/>
    <w:tmpl w:val="4CA835B8"/>
    <w:lvl w:ilvl="0" w:tplc="6318055A">
      <w:start w:val="1"/>
      <w:numFmt w:val="bullet"/>
      <w:lvlText w:val="●"/>
      <w:lvlJc w:val="left"/>
      <w:pPr>
        <w:ind w:left="720" w:hanging="360"/>
      </w:pPr>
    </w:lvl>
    <w:lvl w:ilvl="1" w:tplc="9524036E">
      <w:start w:val="1"/>
      <w:numFmt w:val="bullet"/>
      <w:lvlText w:val="○"/>
      <w:lvlJc w:val="left"/>
      <w:pPr>
        <w:ind w:left="1440" w:hanging="360"/>
      </w:pPr>
    </w:lvl>
    <w:lvl w:ilvl="2" w:tplc="E9B2DF50">
      <w:start w:val="1"/>
      <w:numFmt w:val="bullet"/>
      <w:lvlText w:val="■"/>
      <w:lvlJc w:val="left"/>
      <w:pPr>
        <w:ind w:left="2160" w:hanging="360"/>
      </w:pPr>
    </w:lvl>
    <w:lvl w:ilvl="3" w:tplc="B59494BC">
      <w:start w:val="1"/>
      <w:numFmt w:val="bullet"/>
      <w:lvlText w:val="●"/>
      <w:lvlJc w:val="left"/>
      <w:pPr>
        <w:ind w:left="2880" w:hanging="360"/>
      </w:pPr>
    </w:lvl>
    <w:lvl w:ilvl="4" w:tplc="5394F016">
      <w:start w:val="1"/>
      <w:numFmt w:val="bullet"/>
      <w:lvlText w:val="○"/>
      <w:lvlJc w:val="left"/>
      <w:pPr>
        <w:ind w:left="3600" w:hanging="360"/>
      </w:pPr>
    </w:lvl>
    <w:lvl w:ilvl="5" w:tplc="3AA4058E">
      <w:start w:val="1"/>
      <w:numFmt w:val="bullet"/>
      <w:lvlText w:val="■"/>
      <w:lvlJc w:val="left"/>
      <w:pPr>
        <w:ind w:left="4320" w:hanging="360"/>
      </w:pPr>
    </w:lvl>
    <w:lvl w:ilvl="6" w:tplc="698EFCB6">
      <w:start w:val="1"/>
      <w:numFmt w:val="bullet"/>
      <w:lvlText w:val="●"/>
      <w:lvlJc w:val="left"/>
      <w:pPr>
        <w:ind w:left="5040" w:hanging="360"/>
      </w:pPr>
    </w:lvl>
    <w:lvl w:ilvl="7" w:tplc="56125166">
      <w:start w:val="1"/>
      <w:numFmt w:val="bullet"/>
      <w:lvlText w:val="●"/>
      <w:lvlJc w:val="left"/>
      <w:pPr>
        <w:ind w:left="5760" w:hanging="360"/>
      </w:pPr>
    </w:lvl>
    <w:lvl w:ilvl="8" w:tplc="1ACC48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D0"/>
    <w:rsid w:val="008E32D0"/>
    <w:rsid w:val="00A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13B55"/>
  <w15:docId w15:val="{CD035BD0-B488-4C28-A28E-5E5E390D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Sala_</cp:lastModifiedBy>
  <cp:revision>2</cp:revision>
  <dcterms:created xsi:type="dcterms:W3CDTF">2026-08-19T14:33:00Z</dcterms:created>
  <dcterms:modified xsi:type="dcterms:W3CDTF">2026-08-19T14:33:00Z</dcterms:modified>
</cp:coreProperties>
</file>